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9D0A"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1: </w:t>
      </w:r>
      <w:r w:rsidRPr="00FF7228">
        <w:rPr>
          <w:caps w:val="0"/>
        </w:rPr>
        <w:t xml:space="preserve">Identifikace látky/směsi a společnosti/podniku  </w:t>
      </w:r>
    </w:p>
    <w:p w14:paraId="60D54519" w14:textId="77777777" w:rsidR="00E44A0C" w:rsidRPr="00FF7228" w:rsidRDefault="00E44A0C" w:rsidP="002D0D68">
      <w:pPr>
        <w:pStyle w:val="Nadpis2"/>
        <w:numPr>
          <w:ilvl w:val="0"/>
          <w:numId w:val="0"/>
        </w:numPr>
        <w:tabs>
          <w:tab w:val="left" w:pos="426"/>
          <w:tab w:val="left" w:pos="8280"/>
        </w:tabs>
      </w:pPr>
      <w:r w:rsidRPr="00FF7228">
        <w:t>1.1</w:t>
      </w:r>
      <w:r w:rsidRPr="00FF7228">
        <w:tab/>
        <w:t>Identifikátor výrobku</w:t>
      </w:r>
      <w:r w:rsidR="002D0D68">
        <w:tab/>
      </w:r>
    </w:p>
    <w:tbl>
      <w:tblPr>
        <w:tblW w:w="0" w:type="auto"/>
        <w:tblInd w:w="70" w:type="dxa"/>
        <w:tblLayout w:type="fixed"/>
        <w:tblCellMar>
          <w:left w:w="70" w:type="dxa"/>
          <w:right w:w="70" w:type="dxa"/>
        </w:tblCellMar>
        <w:tblLook w:val="0000" w:firstRow="0" w:lastRow="0" w:firstColumn="0" w:lastColumn="0" w:noHBand="0" w:noVBand="0"/>
      </w:tblPr>
      <w:tblGrid>
        <w:gridCol w:w="3261"/>
        <w:gridCol w:w="5811"/>
      </w:tblGrid>
      <w:tr w:rsidR="00E44A0C" w:rsidRPr="00FF7228" w14:paraId="3B9958C7" w14:textId="77777777">
        <w:tc>
          <w:tcPr>
            <w:tcW w:w="3261" w:type="dxa"/>
          </w:tcPr>
          <w:p w14:paraId="70C8C053" w14:textId="77777777" w:rsidR="00E44A0C" w:rsidRPr="00FF7228" w:rsidRDefault="00E44A0C">
            <w:pPr>
              <w:ind w:left="0"/>
            </w:pPr>
            <w:r w:rsidRPr="00FF7228">
              <w:t>Identifikátor výrobku:</w:t>
            </w:r>
          </w:p>
        </w:tc>
        <w:tc>
          <w:tcPr>
            <w:tcW w:w="5811" w:type="dxa"/>
          </w:tcPr>
          <w:p w14:paraId="608724BD" w14:textId="0DB6E16B" w:rsidR="00E44A0C" w:rsidRPr="00FF7228" w:rsidRDefault="00DC1880" w:rsidP="006F60BD">
            <w:pPr>
              <w:ind w:left="0"/>
              <w:rPr>
                <w:rFonts w:ascii="Arial" w:hAnsi="Arial" w:cs="Arial"/>
                <w:b/>
                <w:bCs/>
              </w:rPr>
            </w:pPr>
            <w:proofErr w:type="spellStart"/>
            <w:r>
              <w:rPr>
                <w:rFonts w:ascii="Arial" w:hAnsi="Arial" w:cs="Arial"/>
                <w:b/>
                <w:bCs/>
              </w:rPr>
              <w:t>Primo</w:t>
            </w:r>
            <w:r w:rsidR="00AE273E">
              <w:rPr>
                <w:rFonts w:ascii="Arial" w:hAnsi="Arial" w:cs="Arial"/>
                <w:b/>
                <w:bCs/>
              </w:rPr>
              <w:t>na</w:t>
            </w:r>
            <w:proofErr w:type="spellEnd"/>
            <w:r>
              <w:rPr>
                <w:rFonts w:ascii="Arial" w:hAnsi="Arial" w:cs="Arial"/>
                <w:b/>
                <w:bCs/>
              </w:rPr>
              <w:t xml:space="preserve"> univerzální čistič </w:t>
            </w:r>
            <w:r w:rsidR="006F60BD">
              <w:rPr>
                <w:rFonts w:ascii="Arial" w:hAnsi="Arial" w:cs="Arial"/>
                <w:b/>
                <w:bCs/>
              </w:rPr>
              <w:t>Lemon</w:t>
            </w:r>
          </w:p>
        </w:tc>
      </w:tr>
      <w:tr w:rsidR="00E44A0C" w:rsidRPr="00FF7228" w14:paraId="10A4FFCD" w14:textId="77777777">
        <w:tc>
          <w:tcPr>
            <w:tcW w:w="3261" w:type="dxa"/>
          </w:tcPr>
          <w:p w14:paraId="04EF9646" w14:textId="77777777" w:rsidR="00E44A0C" w:rsidRPr="00FF7228" w:rsidRDefault="00E44A0C" w:rsidP="00522AEC">
            <w:pPr>
              <w:ind w:left="0"/>
            </w:pPr>
            <w:r w:rsidRPr="00FF7228">
              <w:t>Další názvy:</w:t>
            </w:r>
          </w:p>
        </w:tc>
        <w:tc>
          <w:tcPr>
            <w:tcW w:w="5811" w:type="dxa"/>
          </w:tcPr>
          <w:p w14:paraId="7664B5F2" w14:textId="77777777" w:rsidR="00B845B9" w:rsidRPr="00B845B9" w:rsidRDefault="00DC1880" w:rsidP="00DC1880">
            <w:pPr>
              <w:ind w:left="0"/>
              <w:rPr>
                <w:bCs/>
              </w:rPr>
            </w:pPr>
            <w:r>
              <w:rPr>
                <w:bCs/>
              </w:rPr>
              <w:t>Primo</w:t>
            </w:r>
            <w:r w:rsidR="00417413">
              <w:rPr>
                <w:bCs/>
              </w:rPr>
              <w:t xml:space="preserve"> </w:t>
            </w:r>
            <w:r w:rsidR="00B845B9">
              <w:rPr>
                <w:bCs/>
              </w:rPr>
              <w:t xml:space="preserve">universal </w:t>
            </w:r>
            <w:proofErr w:type="spellStart"/>
            <w:r w:rsidR="00B845B9">
              <w:rPr>
                <w:bCs/>
              </w:rPr>
              <w:t>cleaner</w:t>
            </w:r>
            <w:proofErr w:type="spellEnd"/>
            <w:r w:rsidR="0020406A" w:rsidRPr="00FF7228">
              <w:rPr>
                <w:bCs/>
              </w:rPr>
              <w:t xml:space="preserve"> </w:t>
            </w:r>
          </w:p>
        </w:tc>
      </w:tr>
      <w:tr w:rsidR="001D6C63" w:rsidRPr="00FF7228" w14:paraId="4AF586CA" w14:textId="77777777">
        <w:tc>
          <w:tcPr>
            <w:tcW w:w="3261" w:type="dxa"/>
          </w:tcPr>
          <w:p w14:paraId="24F60AC1" w14:textId="77777777" w:rsidR="001D6C63" w:rsidRPr="00FF7228" w:rsidRDefault="001D6C63" w:rsidP="0035325C">
            <w:pPr>
              <w:ind w:left="0"/>
            </w:pPr>
            <w:r w:rsidRPr="00FF7228">
              <w:t>Registrační číslo REACH:</w:t>
            </w:r>
          </w:p>
        </w:tc>
        <w:tc>
          <w:tcPr>
            <w:tcW w:w="5811" w:type="dxa"/>
          </w:tcPr>
          <w:p w14:paraId="0E075932" w14:textId="77777777" w:rsidR="001D6C63" w:rsidRPr="00FF7228" w:rsidRDefault="00AA47B2" w:rsidP="0035325C">
            <w:pPr>
              <w:ind w:left="0"/>
            </w:pPr>
            <w:r w:rsidRPr="00FF7228">
              <w:t xml:space="preserve">Není aplikováno pro směs </w:t>
            </w:r>
          </w:p>
        </w:tc>
      </w:tr>
    </w:tbl>
    <w:p w14:paraId="4840D2FE" w14:textId="77777777" w:rsidR="00E44A0C" w:rsidRPr="00FF7228" w:rsidRDefault="00E44A0C">
      <w:pPr>
        <w:pStyle w:val="Nadpis2"/>
        <w:numPr>
          <w:ilvl w:val="0"/>
          <w:numId w:val="0"/>
        </w:numPr>
        <w:tabs>
          <w:tab w:val="left" w:pos="426"/>
        </w:tabs>
      </w:pPr>
      <w:r w:rsidRPr="00FF7228">
        <w:t>1.2</w:t>
      </w:r>
      <w:r w:rsidRPr="00FF7228">
        <w:tab/>
        <w:t>Příslušná určená použití látky nebo směsi a nedoporučená použití</w:t>
      </w:r>
    </w:p>
    <w:tbl>
      <w:tblPr>
        <w:tblW w:w="9072" w:type="dxa"/>
        <w:tblInd w:w="70" w:type="dxa"/>
        <w:tblLayout w:type="fixed"/>
        <w:tblCellMar>
          <w:left w:w="70" w:type="dxa"/>
          <w:right w:w="70" w:type="dxa"/>
        </w:tblCellMar>
        <w:tblLook w:val="0000" w:firstRow="0" w:lastRow="0" w:firstColumn="0" w:lastColumn="0" w:noHBand="0" w:noVBand="0"/>
      </w:tblPr>
      <w:tblGrid>
        <w:gridCol w:w="3261"/>
        <w:gridCol w:w="5811"/>
      </w:tblGrid>
      <w:tr w:rsidR="001D6C63" w:rsidRPr="00FF7228" w14:paraId="49D45063" w14:textId="77777777" w:rsidTr="001D6C63">
        <w:tc>
          <w:tcPr>
            <w:tcW w:w="3261" w:type="dxa"/>
          </w:tcPr>
          <w:p w14:paraId="79EB2B6B" w14:textId="77777777" w:rsidR="001D6C63" w:rsidRPr="00FF7228" w:rsidRDefault="001D6C63">
            <w:pPr>
              <w:ind w:left="0"/>
            </w:pPr>
            <w:r w:rsidRPr="00FF7228">
              <w:t>Určená použití:</w:t>
            </w:r>
          </w:p>
        </w:tc>
        <w:tc>
          <w:tcPr>
            <w:tcW w:w="5811" w:type="dxa"/>
          </w:tcPr>
          <w:p w14:paraId="4DED9D35" w14:textId="77777777" w:rsidR="001D6C63" w:rsidRPr="00FF7228" w:rsidRDefault="00AA47B2" w:rsidP="0035325C">
            <w:pPr>
              <w:pStyle w:val="NormalTab"/>
              <w:rPr>
                <w:bCs/>
              </w:rPr>
            </w:pPr>
            <w:r w:rsidRPr="00FF7228">
              <w:rPr>
                <w:bCs/>
              </w:rPr>
              <w:t>Čisticí prostředek.</w:t>
            </w:r>
          </w:p>
          <w:p w14:paraId="2FB4E57A" w14:textId="77777777" w:rsidR="001D6C63" w:rsidRPr="00FF7228" w:rsidRDefault="001D6C63" w:rsidP="0035325C">
            <w:pPr>
              <w:pStyle w:val="NormalTab"/>
              <w:rPr>
                <w:bCs/>
              </w:rPr>
            </w:pPr>
            <w:r w:rsidRPr="00FF7228">
              <w:rPr>
                <w:bCs/>
              </w:rPr>
              <w:t>Určeno pro prodej spotřebiteli i pro odborné/průmyslové použití.</w:t>
            </w:r>
          </w:p>
        </w:tc>
      </w:tr>
      <w:tr w:rsidR="001D6C63" w:rsidRPr="00FF7228" w14:paraId="250E4BE7" w14:textId="77777777" w:rsidTr="001D6C63">
        <w:tc>
          <w:tcPr>
            <w:tcW w:w="3261" w:type="dxa"/>
          </w:tcPr>
          <w:p w14:paraId="711CC259" w14:textId="77777777" w:rsidR="001D6C63" w:rsidRPr="00FF7228" w:rsidRDefault="001D6C63">
            <w:pPr>
              <w:ind w:left="0"/>
            </w:pPr>
            <w:r w:rsidRPr="00FF7228">
              <w:t>Nedoporučená použití:</w:t>
            </w:r>
          </w:p>
        </w:tc>
        <w:tc>
          <w:tcPr>
            <w:tcW w:w="5811" w:type="dxa"/>
          </w:tcPr>
          <w:p w14:paraId="7758CF1C" w14:textId="77777777" w:rsidR="001D6C63" w:rsidRPr="00FF7228" w:rsidRDefault="001D6C63" w:rsidP="0035325C">
            <w:pPr>
              <w:pStyle w:val="NormalTab"/>
              <w:rPr>
                <w:bCs/>
              </w:rPr>
            </w:pPr>
            <w:r w:rsidRPr="00FF7228">
              <w:rPr>
                <w:bCs/>
              </w:rPr>
              <w:t>Nejsou známy.</w:t>
            </w:r>
          </w:p>
        </w:tc>
      </w:tr>
    </w:tbl>
    <w:p w14:paraId="30829198" w14:textId="77777777" w:rsidR="00E44A0C" w:rsidRPr="00FF7228" w:rsidRDefault="00E44A0C">
      <w:pPr>
        <w:pStyle w:val="Nadpis2"/>
        <w:numPr>
          <w:ilvl w:val="0"/>
          <w:numId w:val="0"/>
        </w:numPr>
        <w:tabs>
          <w:tab w:val="left" w:pos="426"/>
        </w:tabs>
      </w:pPr>
      <w:r w:rsidRPr="00FF7228">
        <w:t>1.3</w:t>
      </w:r>
      <w:r w:rsidRPr="00FF7228">
        <w:tab/>
        <w:t>Podrobné údaje o dodavateli bezpečnostního listu</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394"/>
      </w:tblGrid>
      <w:tr w:rsidR="001C5071" w:rsidRPr="00FF7228" w14:paraId="3D8CF8D1" w14:textId="77777777">
        <w:tc>
          <w:tcPr>
            <w:tcW w:w="4678" w:type="dxa"/>
          </w:tcPr>
          <w:p w14:paraId="1C18424C" w14:textId="77777777" w:rsidR="001C5071" w:rsidRPr="00FF7228" w:rsidRDefault="00DE034C" w:rsidP="00DE034C">
            <w:pPr>
              <w:ind w:left="0"/>
            </w:pPr>
            <w:r w:rsidRPr="00FF7228">
              <w:t>Jméno nebo obchodní jméno</w:t>
            </w:r>
            <w:r w:rsidR="001C5071" w:rsidRPr="00FF7228">
              <w:t>:</w:t>
            </w:r>
          </w:p>
        </w:tc>
        <w:tc>
          <w:tcPr>
            <w:tcW w:w="4394" w:type="dxa"/>
          </w:tcPr>
          <w:p w14:paraId="69B41B6C" w14:textId="77777777" w:rsidR="001C5071" w:rsidRPr="00FF7228" w:rsidRDefault="003B0F10" w:rsidP="003B0F10">
            <w:pPr>
              <w:ind w:left="0"/>
              <w:rPr>
                <w:b/>
                <w:bCs/>
              </w:rPr>
            </w:pPr>
            <w:r w:rsidRPr="00FF7228">
              <w:rPr>
                <w:b/>
                <w:snapToGrid w:val="0"/>
              </w:rPr>
              <w:t>PRIMO group s.r.o.</w:t>
            </w:r>
          </w:p>
        </w:tc>
      </w:tr>
      <w:tr w:rsidR="001C5071" w:rsidRPr="00FF7228" w14:paraId="2FAA3495" w14:textId="77777777">
        <w:tc>
          <w:tcPr>
            <w:tcW w:w="4678" w:type="dxa"/>
          </w:tcPr>
          <w:p w14:paraId="64324A0F" w14:textId="77777777" w:rsidR="001C5071" w:rsidRPr="00FF7228" w:rsidRDefault="001C5071">
            <w:pPr>
              <w:ind w:left="0"/>
            </w:pPr>
            <w:r w:rsidRPr="00FF7228">
              <w:t>Místo podnikání nebo sídlo:</w:t>
            </w:r>
          </w:p>
        </w:tc>
        <w:tc>
          <w:tcPr>
            <w:tcW w:w="4394" w:type="dxa"/>
          </w:tcPr>
          <w:p w14:paraId="784FFD02" w14:textId="77777777" w:rsidR="001C5071" w:rsidRPr="00FF7228" w:rsidRDefault="00E00CB7" w:rsidP="003B0F10">
            <w:pPr>
              <w:ind w:left="0"/>
            </w:pPr>
            <w:r>
              <w:t>Horušice 104, 284 01 Horušice</w:t>
            </w:r>
          </w:p>
        </w:tc>
      </w:tr>
      <w:tr w:rsidR="001C5071" w:rsidRPr="00FF7228" w14:paraId="0CB4FF7E" w14:textId="77777777">
        <w:tc>
          <w:tcPr>
            <w:tcW w:w="4678" w:type="dxa"/>
          </w:tcPr>
          <w:p w14:paraId="2FAFFF89" w14:textId="77777777" w:rsidR="001C5071" w:rsidRPr="00FF7228" w:rsidRDefault="001C5071">
            <w:pPr>
              <w:ind w:left="0"/>
            </w:pPr>
            <w:r w:rsidRPr="00FF7228">
              <w:t>Identifikační číslo:</w:t>
            </w:r>
          </w:p>
        </w:tc>
        <w:tc>
          <w:tcPr>
            <w:tcW w:w="4394" w:type="dxa"/>
          </w:tcPr>
          <w:p w14:paraId="0DEB0895" w14:textId="77777777" w:rsidR="001C5071" w:rsidRPr="00FF7228" w:rsidRDefault="003B0F10" w:rsidP="003B0F10">
            <w:pPr>
              <w:overflowPunct/>
              <w:autoSpaceDE/>
              <w:autoSpaceDN/>
              <w:adjustRightInd/>
              <w:ind w:left="0"/>
              <w:textAlignment w:val="auto"/>
            </w:pPr>
            <w:r w:rsidRPr="00FF7228">
              <w:t xml:space="preserve">25113593 </w:t>
            </w:r>
          </w:p>
        </w:tc>
      </w:tr>
      <w:tr w:rsidR="001C5071" w:rsidRPr="00FF7228" w14:paraId="6CDA6C9D" w14:textId="77777777">
        <w:tc>
          <w:tcPr>
            <w:tcW w:w="4678" w:type="dxa"/>
          </w:tcPr>
          <w:p w14:paraId="16BA4391" w14:textId="77777777" w:rsidR="001C5071" w:rsidRPr="00FF7228" w:rsidRDefault="001C5071">
            <w:pPr>
              <w:ind w:left="0"/>
            </w:pPr>
            <w:r w:rsidRPr="00FF7228">
              <w:t>Telefon:</w:t>
            </w:r>
          </w:p>
        </w:tc>
        <w:tc>
          <w:tcPr>
            <w:tcW w:w="4394" w:type="dxa"/>
          </w:tcPr>
          <w:p w14:paraId="02BECD66" w14:textId="77777777" w:rsidR="001C5071" w:rsidRPr="00FF7228" w:rsidRDefault="003B0F10" w:rsidP="00424D36">
            <w:pPr>
              <w:ind w:left="0"/>
            </w:pPr>
            <w:r w:rsidRPr="00FF7228">
              <w:rPr>
                <w:snapToGrid w:val="0"/>
              </w:rPr>
              <w:t>+420 327 311 500</w:t>
            </w:r>
          </w:p>
        </w:tc>
      </w:tr>
      <w:tr w:rsidR="001C5071" w:rsidRPr="00FF7228" w14:paraId="5C54F76C" w14:textId="77777777">
        <w:tc>
          <w:tcPr>
            <w:tcW w:w="4678" w:type="dxa"/>
          </w:tcPr>
          <w:p w14:paraId="1285A379" w14:textId="77777777" w:rsidR="001C5071" w:rsidRPr="00FF7228" w:rsidRDefault="001C5071">
            <w:pPr>
              <w:ind w:left="0"/>
            </w:pPr>
            <w:r w:rsidRPr="00FF7228">
              <w:t xml:space="preserve">Fax: </w:t>
            </w:r>
          </w:p>
        </w:tc>
        <w:tc>
          <w:tcPr>
            <w:tcW w:w="4394" w:type="dxa"/>
          </w:tcPr>
          <w:p w14:paraId="2BDD1AAC" w14:textId="77777777" w:rsidR="001C5071" w:rsidRPr="00FF7228" w:rsidRDefault="003B0F10" w:rsidP="00424D36">
            <w:pPr>
              <w:ind w:left="0"/>
            </w:pPr>
            <w:r w:rsidRPr="00FF7228">
              <w:rPr>
                <w:snapToGrid w:val="0"/>
              </w:rPr>
              <w:t>+420 327 311 501</w:t>
            </w:r>
          </w:p>
        </w:tc>
      </w:tr>
      <w:tr w:rsidR="001B1F85" w:rsidRPr="00FF7228" w14:paraId="788BF66D" w14:textId="77777777" w:rsidTr="001B1F85">
        <w:tc>
          <w:tcPr>
            <w:tcW w:w="4678" w:type="dxa"/>
            <w:vAlign w:val="center"/>
          </w:tcPr>
          <w:p w14:paraId="42A4DA41" w14:textId="77777777" w:rsidR="001B1F85" w:rsidRDefault="001B1F85" w:rsidP="001B1F85">
            <w:pPr>
              <w:ind w:left="0"/>
            </w:pPr>
            <w:r>
              <w:t>Email:</w:t>
            </w:r>
          </w:p>
        </w:tc>
        <w:tc>
          <w:tcPr>
            <w:tcW w:w="4394" w:type="dxa"/>
          </w:tcPr>
          <w:p w14:paraId="4955B84B" w14:textId="77777777" w:rsidR="001B1F85" w:rsidRDefault="001B1F85">
            <w:pPr>
              <w:ind w:left="0"/>
              <w:rPr>
                <w:snapToGrid w:val="0"/>
              </w:rPr>
            </w:pPr>
            <w:r>
              <w:t>řízení kvality a bezpečnosti výrobků:</w:t>
            </w:r>
            <w:r>
              <w:rPr>
                <w:iCs/>
                <w:snapToGrid w:val="0"/>
              </w:rPr>
              <w:t xml:space="preserve"> </w:t>
            </w:r>
            <w:hyperlink r:id="rId8" w:history="1">
              <w:r w:rsidRPr="00F52014">
                <w:rPr>
                  <w:rStyle w:val="Hypertextovodkaz"/>
                  <w:iCs/>
                  <w:snapToGrid w:val="0"/>
                </w:rPr>
                <w:t>primogroup@primogroup.cz</w:t>
              </w:r>
            </w:hyperlink>
            <w:r>
              <w:rPr>
                <w:iCs/>
                <w:snapToGrid w:val="0"/>
              </w:rPr>
              <w:t xml:space="preserve"> </w:t>
            </w:r>
          </w:p>
        </w:tc>
      </w:tr>
      <w:tr w:rsidR="001B1F85" w:rsidRPr="00FF7228" w14:paraId="5E0ACAE6" w14:textId="77777777">
        <w:tc>
          <w:tcPr>
            <w:tcW w:w="4678" w:type="dxa"/>
          </w:tcPr>
          <w:p w14:paraId="2C79A3FE" w14:textId="77777777" w:rsidR="001B1F85" w:rsidRDefault="001B1F85">
            <w:pPr>
              <w:ind w:left="0"/>
            </w:pPr>
            <w:r>
              <w:t>Kontaktní osoba:</w:t>
            </w:r>
          </w:p>
        </w:tc>
        <w:tc>
          <w:tcPr>
            <w:tcW w:w="4394" w:type="dxa"/>
          </w:tcPr>
          <w:p w14:paraId="51950C6E" w14:textId="77777777" w:rsidR="001B1F85" w:rsidRDefault="001B1F85">
            <w:pPr>
              <w:ind w:left="0"/>
            </w:pPr>
            <w:r>
              <w:t>Pavel Pilař</w:t>
            </w:r>
          </w:p>
        </w:tc>
      </w:tr>
      <w:tr w:rsidR="001B1F85" w:rsidRPr="00FF7228" w14:paraId="001ED089" w14:textId="77777777">
        <w:tc>
          <w:tcPr>
            <w:tcW w:w="4678" w:type="dxa"/>
          </w:tcPr>
          <w:p w14:paraId="5F16CBD2" w14:textId="77777777" w:rsidR="001B1F85" w:rsidRDefault="001B1F85">
            <w:pPr>
              <w:ind w:left="0"/>
            </w:pPr>
          </w:p>
        </w:tc>
        <w:tc>
          <w:tcPr>
            <w:tcW w:w="4394" w:type="dxa"/>
          </w:tcPr>
          <w:p w14:paraId="08961135" w14:textId="77777777" w:rsidR="001B1F85" w:rsidRDefault="00BB6DF0">
            <w:pPr>
              <w:ind w:left="0"/>
            </w:pPr>
            <w:hyperlink r:id="rId9" w:history="1">
              <w:r w:rsidR="001B1F85">
                <w:rPr>
                  <w:rStyle w:val="Hypertextovodkaz"/>
                </w:rPr>
                <w:t>pilar@primogroup.cz</w:t>
              </w:r>
            </w:hyperlink>
            <w:r w:rsidR="001B1F85">
              <w:t xml:space="preserve"> </w:t>
            </w:r>
          </w:p>
        </w:tc>
      </w:tr>
      <w:tr w:rsidR="001B1F85" w:rsidRPr="00FF7228" w14:paraId="56FD7765" w14:textId="77777777">
        <w:tc>
          <w:tcPr>
            <w:tcW w:w="4678" w:type="dxa"/>
          </w:tcPr>
          <w:p w14:paraId="3932C6AD" w14:textId="77777777" w:rsidR="001B1F85" w:rsidRDefault="001B1F85">
            <w:pPr>
              <w:ind w:left="0"/>
            </w:pPr>
          </w:p>
        </w:tc>
        <w:tc>
          <w:tcPr>
            <w:tcW w:w="4394" w:type="dxa"/>
          </w:tcPr>
          <w:p w14:paraId="6BFCA972" w14:textId="77777777" w:rsidR="001B1F85" w:rsidRDefault="001B1F85">
            <w:pPr>
              <w:ind w:left="0"/>
            </w:pPr>
            <w:r>
              <w:t>Tel.: +420 603 874 824</w:t>
            </w:r>
          </w:p>
        </w:tc>
      </w:tr>
      <w:tr w:rsidR="001B1F85" w:rsidRPr="00FF7228" w14:paraId="7B5497F7" w14:textId="77777777">
        <w:tc>
          <w:tcPr>
            <w:tcW w:w="4678" w:type="dxa"/>
          </w:tcPr>
          <w:p w14:paraId="54DA36A1" w14:textId="77777777" w:rsidR="001B1F85" w:rsidRDefault="001B1F85">
            <w:pPr>
              <w:ind w:left="0"/>
            </w:pPr>
          </w:p>
        </w:tc>
        <w:tc>
          <w:tcPr>
            <w:tcW w:w="4394" w:type="dxa"/>
          </w:tcPr>
          <w:p w14:paraId="526EAFA1" w14:textId="77777777" w:rsidR="001B1F85" w:rsidRDefault="001B1F85">
            <w:pPr>
              <w:ind w:left="0"/>
            </w:pPr>
          </w:p>
        </w:tc>
      </w:tr>
      <w:tr w:rsidR="001B1F85" w:rsidRPr="00FF7228" w14:paraId="0DCE1B1D" w14:textId="77777777">
        <w:tc>
          <w:tcPr>
            <w:tcW w:w="4678" w:type="dxa"/>
          </w:tcPr>
          <w:p w14:paraId="7756CED2" w14:textId="77777777" w:rsidR="001B1F85" w:rsidRDefault="001B1F85">
            <w:pPr>
              <w:ind w:left="0"/>
            </w:pPr>
          </w:p>
        </w:tc>
        <w:tc>
          <w:tcPr>
            <w:tcW w:w="4394" w:type="dxa"/>
          </w:tcPr>
          <w:p w14:paraId="5849444D" w14:textId="77777777" w:rsidR="001B1F85" w:rsidRDefault="001B1F85">
            <w:pPr>
              <w:ind w:left="0"/>
            </w:pPr>
            <w:r>
              <w:t>Lucie Junková</w:t>
            </w:r>
          </w:p>
        </w:tc>
      </w:tr>
      <w:tr w:rsidR="001B1F85" w:rsidRPr="00FF7228" w14:paraId="0F5BFB96" w14:textId="77777777">
        <w:tc>
          <w:tcPr>
            <w:tcW w:w="4678" w:type="dxa"/>
          </w:tcPr>
          <w:p w14:paraId="36F2D28B" w14:textId="77777777" w:rsidR="001B1F85" w:rsidRDefault="001B1F85">
            <w:pPr>
              <w:ind w:left="0"/>
            </w:pPr>
          </w:p>
        </w:tc>
        <w:tc>
          <w:tcPr>
            <w:tcW w:w="4394" w:type="dxa"/>
          </w:tcPr>
          <w:p w14:paraId="1C840261" w14:textId="77777777" w:rsidR="001B1F85" w:rsidRDefault="00BB6DF0">
            <w:pPr>
              <w:ind w:left="0"/>
            </w:pPr>
            <w:hyperlink r:id="rId10" w:history="1">
              <w:r w:rsidR="001B1F85">
                <w:rPr>
                  <w:rStyle w:val="Hypertextovodkaz"/>
                </w:rPr>
                <w:t>lucie.stavinohova@primogroup.cz</w:t>
              </w:r>
            </w:hyperlink>
            <w:r w:rsidR="001B1F85">
              <w:t xml:space="preserve"> </w:t>
            </w:r>
          </w:p>
        </w:tc>
      </w:tr>
      <w:tr w:rsidR="001B1F85" w:rsidRPr="00FF7228" w14:paraId="3EED625B" w14:textId="77777777">
        <w:tc>
          <w:tcPr>
            <w:tcW w:w="4678" w:type="dxa"/>
          </w:tcPr>
          <w:p w14:paraId="56CF73BF" w14:textId="77777777" w:rsidR="001B1F85" w:rsidRDefault="001B1F85">
            <w:pPr>
              <w:ind w:left="0"/>
            </w:pPr>
          </w:p>
        </w:tc>
        <w:tc>
          <w:tcPr>
            <w:tcW w:w="4394" w:type="dxa"/>
          </w:tcPr>
          <w:p w14:paraId="6F984073" w14:textId="77777777" w:rsidR="001B1F85" w:rsidRDefault="001B1F85">
            <w:pPr>
              <w:ind w:left="0"/>
            </w:pPr>
            <w:r>
              <w:t>Tel.: +420 731 187 000</w:t>
            </w:r>
          </w:p>
        </w:tc>
      </w:tr>
    </w:tbl>
    <w:p w14:paraId="33E30A29" w14:textId="77777777" w:rsidR="00E44A0C" w:rsidRPr="00FF7228" w:rsidRDefault="00E44A0C">
      <w:pPr>
        <w:pStyle w:val="Nadpis2"/>
        <w:numPr>
          <w:ilvl w:val="0"/>
          <w:numId w:val="0"/>
        </w:numPr>
        <w:tabs>
          <w:tab w:val="left" w:pos="426"/>
        </w:tabs>
      </w:pPr>
      <w:r w:rsidRPr="00FF7228">
        <w:t>1.4</w:t>
      </w:r>
      <w:r w:rsidRPr="00FF7228">
        <w:tab/>
        <w:t xml:space="preserve">Telefonní číslo pro naléhavé situace </w:t>
      </w:r>
    </w:p>
    <w:p w14:paraId="28099D37" w14:textId="77777777" w:rsidR="00E44A0C" w:rsidRPr="00FF7228" w:rsidRDefault="00E44A0C">
      <w:pPr>
        <w:pStyle w:val="Nadpis2"/>
        <w:numPr>
          <w:ilvl w:val="0"/>
          <w:numId w:val="0"/>
        </w:numPr>
        <w:spacing w:before="0"/>
        <w:rPr>
          <w:rFonts w:ascii="Times New Roman" w:hAnsi="Times New Roman"/>
        </w:rPr>
      </w:pPr>
      <w:r w:rsidRPr="00FF7228">
        <w:rPr>
          <w:rFonts w:ascii="Times New Roman" w:hAnsi="Times New Roman"/>
        </w:rPr>
        <w:t xml:space="preserve">+420 224 91 92 93; 224 91 54 02 (nepřetržitá služba) </w:t>
      </w:r>
    </w:p>
    <w:p w14:paraId="13E1040D" w14:textId="77777777" w:rsidR="00E44A0C" w:rsidRPr="00FF7228" w:rsidRDefault="00E44A0C">
      <w:pPr>
        <w:pStyle w:val="Nadpis2"/>
        <w:numPr>
          <w:ilvl w:val="0"/>
          <w:numId w:val="0"/>
        </w:numPr>
        <w:spacing w:before="0"/>
      </w:pPr>
      <w:r w:rsidRPr="00FF7228">
        <w:rPr>
          <w:rFonts w:ascii="Times New Roman" w:hAnsi="Times New Roman"/>
          <w:b w:val="0"/>
          <w:bCs/>
        </w:rPr>
        <w:t>Klinika nemocí z povolání – Toxikologické informační středisko, Na Bojišti 1, 128 08 Praha 2, CZ</w:t>
      </w:r>
    </w:p>
    <w:p w14:paraId="3A651B9F"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2: </w:t>
      </w:r>
      <w:r w:rsidRPr="00FF7228">
        <w:rPr>
          <w:caps w:val="0"/>
        </w:rPr>
        <w:t>Identifikace nebezpečnosti</w:t>
      </w:r>
    </w:p>
    <w:p w14:paraId="53E185BE" w14:textId="77777777" w:rsidR="00E44A0C" w:rsidRPr="00FF7228" w:rsidRDefault="00E44A0C">
      <w:pPr>
        <w:ind w:left="0"/>
        <w:rPr>
          <w:rFonts w:ascii="Arial" w:hAnsi="Arial" w:cs="Arial"/>
          <w:b/>
          <w:bCs/>
        </w:rPr>
      </w:pPr>
      <w:proofErr w:type="gramStart"/>
      <w:r w:rsidRPr="00FF7228">
        <w:rPr>
          <w:rFonts w:ascii="Arial" w:hAnsi="Arial"/>
          <w:b/>
        </w:rPr>
        <w:t>2.1  K</w:t>
      </w:r>
      <w:r w:rsidRPr="00FF7228">
        <w:rPr>
          <w:rFonts w:ascii="Arial" w:hAnsi="Arial" w:cs="Arial"/>
          <w:b/>
          <w:bCs/>
        </w:rPr>
        <w:t>lasifikace</w:t>
      </w:r>
      <w:proofErr w:type="gramEnd"/>
      <w:r w:rsidRPr="00FF7228">
        <w:rPr>
          <w:rFonts w:ascii="Arial" w:hAnsi="Arial" w:cs="Arial"/>
          <w:b/>
          <w:bCs/>
        </w:rPr>
        <w:t xml:space="preserve"> látky nebo směsi </w:t>
      </w:r>
    </w:p>
    <w:p w14:paraId="0DD4A1D8" w14:textId="77777777" w:rsidR="00E44A0C" w:rsidRPr="00FF7228" w:rsidRDefault="00E44A0C">
      <w:pPr>
        <w:ind w:left="0"/>
        <w:rPr>
          <w:rFonts w:ascii="Arial" w:hAnsi="Arial"/>
          <w:b/>
        </w:rPr>
      </w:pPr>
    </w:p>
    <w:p w14:paraId="31518A73" w14:textId="77777777" w:rsidR="003B7A2E" w:rsidRPr="00FF7228" w:rsidRDefault="003B7A2E">
      <w:pPr>
        <w:ind w:left="0"/>
      </w:pPr>
      <w:r w:rsidRPr="00FF7228">
        <w:t>Klasifikace ve smyslu nařízení (ES) č. 1272/2008</w:t>
      </w:r>
    </w:p>
    <w:tbl>
      <w:tblPr>
        <w:tblW w:w="0" w:type="auto"/>
        <w:tblInd w:w="108" w:type="dxa"/>
        <w:tblLook w:val="0000" w:firstRow="0" w:lastRow="0" w:firstColumn="0" w:lastColumn="0" w:noHBand="0" w:noVBand="0"/>
      </w:tblPr>
      <w:tblGrid>
        <w:gridCol w:w="2410"/>
      </w:tblGrid>
      <w:tr w:rsidR="00AA47B2" w:rsidRPr="00FF7228" w14:paraId="4D73A171" w14:textId="77777777" w:rsidTr="00AA47B2">
        <w:tc>
          <w:tcPr>
            <w:tcW w:w="2410" w:type="dxa"/>
          </w:tcPr>
          <w:p w14:paraId="20393359" w14:textId="77777777" w:rsidR="00AA47B2" w:rsidRPr="00FF7228" w:rsidRDefault="00AA47B2">
            <w:pPr>
              <w:ind w:left="0"/>
              <w:rPr>
                <w:b/>
                <w:bCs/>
              </w:rPr>
            </w:pPr>
            <w:proofErr w:type="spellStart"/>
            <w:r w:rsidRPr="00FF7228">
              <w:rPr>
                <w:b/>
                <w:bCs/>
              </w:rPr>
              <w:t>Eye</w:t>
            </w:r>
            <w:proofErr w:type="spellEnd"/>
            <w:r w:rsidRPr="00FF7228">
              <w:rPr>
                <w:b/>
                <w:bCs/>
              </w:rPr>
              <w:t xml:space="preserve"> </w:t>
            </w:r>
            <w:proofErr w:type="spellStart"/>
            <w:r w:rsidRPr="00FF7228">
              <w:rPr>
                <w:b/>
                <w:bCs/>
              </w:rPr>
              <w:t>Irrit</w:t>
            </w:r>
            <w:proofErr w:type="spellEnd"/>
            <w:r w:rsidRPr="00FF7228">
              <w:rPr>
                <w:b/>
                <w:bCs/>
              </w:rPr>
              <w:t>. 2, H319</w:t>
            </w:r>
          </w:p>
        </w:tc>
      </w:tr>
    </w:tbl>
    <w:p w14:paraId="68054A29" w14:textId="77777777" w:rsidR="00E44A0C" w:rsidRPr="00FF7228" w:rsidRDefault="00E44A0C">
      <w:pPr>
        <w:ind w:left="0"/>
        <w:jc w:val="both"/>
        <w:rPr>
          <w:bCs/>
        </w:rPr>
      </w:pPr>
      <w:r w:rsidRPr="00FF7228">
        <w:rPr>
          <w:bCs/>
        </w:rPr>
        <w:t>Směs je klasifikována jako nebezpečná ve smyslu nařízení (ES) č. 1272/2008</w:t>
      </w:r>
    </w:p>
    <w:p w14:paraId="2DFAE621" w14:textId="77777777" w:rsidR="00E44A0C" w:rsidRPr="00FF7228" w:rsidRDefault="00E44A0C">
      <w:pPr>
        <w:ind w:left="0"/>
        <w:jc w:val="both"/>
      </w:pPr>
    </w:p>
    <w:p w14:paraId="0D5B54A9" w14:textId="77777777" w:rsidR="00E44A0C" w:rsidRPr="00FF7228" w:rsidRDefault="00E44A0C">
      <w:pPr>
        <w:ind w:left="0"/>
        <w:jc w:val="both"/>
        <w:rPr>
          <w:bCs/>
        </w:rPr>
      </w:pPr>
      <w:r w:rsidRPr="00FF7228">
        <w:rPr>
          <w:bCs/>
        </w:rPr>
        <w:t xml:space="preserve">Směs je klasifikována jako nebezpečná ve smyslu zákona č. </w:t>
      </w:r>
      <w:r w:rsidR="00F20A34" w:rsidRPr="00FF7228">
        <w:rPr>
          <w:bCs/>
        </w:rPr>
        <w:t>350/2011</w:t>
      </w:r>
      <w:r w:rsidRPr="00FF7228">
        <w:rPr>
          <w:bCs/>
        </w:rPr>
        <w:t xml:space="preserve"> Sb.</w:t>
      </w:r>
      <w:r w:rsidR="002A40A4" w:rsidRPr="00FF7228">
        <w:rPr>
          <w:bCs/>
        </w:rPr>
        <w:t>, ve znění pozdějších předpisů</w:t>
      </w:r>
    </w:p>
    <w:p w14:paraId="03CB949D" w14:textId="77777777" w:rsidR="00E44A0C" w:rsidRPr="00FF7228" w:rsidRDefault="00E44A0C">
      <w:pPr>
        <w:spacing w:before="120"/>
        <w:ind w:left="0"/>
        <w:jc w:val="both"/>
        <w:rPr>
          <w:b/>
          <w:bCs/>
        </w:rPr>
      </w:pPr>
      <w:r w:rsidRPr="00FF7228">
        <w:rPr>
          <w:b/>
          <w:bCs/>
        </w:rPr>
        <w:t>Nejzávažnější nepříznivé fyzikálně-chemické účinky a účinky na lidské zdraví a životní prostředí</w:t>
      </w:r>
    </w:p>
    <w:p w14:paraId="34110DDF" w14:textId="77777777" w:rsidR="00E44A0C" w:rsidRPr="00FF7228" w:rsidRDefault="00422BF3">
      <w:pPr>
        <w:ind w:left="0"/>
        <w:jc w:val="both"/>
        <w:rPr>
          <w:b/>
          <w:bCs/>
        </w:rPr>
      </w:pPr>
      <w:r w:rsidRPr="00FF7228">
        <w:t>Způsobuje vážné podráždění očí.</w:t>
      </w:r>
    </w:p>
    <w:p w14:paraId="0D4DFEC1" w14:textId="77777777" w:rsidR="00E44A0C" w:rsidRPr="00FF7228" w:rsidRDefault="00E44A0C">
      <w:pPr>
        <w:spacing w:before="120"/>
        <w:ind w:left="0"/>
        <w:jc w:val="both"/>
        <w:rPr>
          <w:bCs/>
        </w:rPr>
      </w:pPr>
      <w:r w:rsidRPr="00FF7228">
        <w:rPr>
          <w:bCs/>
        </w:rPr>
        <w:t>Plný text všech klasifikací, standardních vět o nebezpečnosti a R-vět je uveden v oddíle 16.</w:t>
      </w:r>
    </w:p>
    <w:p w14:paraId="0432E452" w14:textId="77777777" w:rsidR="00E44A0C" w:rsidRPr="00FF7228" w:rsidRDefault="00E44A0C">
      <w:pPr>
        <w:pStyle w:val="Zkladntextodsazen"/>
        <w:tabs>
          <w:tab w:val="left" w:pos="426"/>
        </w:tabs>
        <w:spacing w:before="120"/>
        <w:ind w:left="1" w:firstLine="0"/>
        <w:rPr>
          <w:rFonts w:ascii="Arial" w:hAnsi="Arial" w:cs="Arial"/>
          <w:b/>
          <w:bCs/>
        </w:rPr>
      </w:pPr>
      <w:r w:rsidRPr="00FF7228">
        <w:rPr>
          <w:rFonts w:ascii="Arial" w:hAnsi="Arial" w:cs="Arial"/>
          <w:b/>
          <w:bCs/>
        </w:rPr>
        <w:t>2.2</w:t>
      </w:r>
      <w:r w:rsidRPr="00FF7228">
        <w:rPr>
          <w:rFonts w:ascii="Arial" w:hAnsi="Arial" w:cs="Arial"/>
          <w:b/>
          <w:bCs/>
        </w:rPr>
        <w:tab/>
        <w:t>Prvky označení</w:t>
      </w:r>
    </w:p>
    <w:p w14:paraId="2F6DC5BA" w14:textId="77777777" w:rsidR="003B7A2E" w:rsidRPr="00FF7228" w:rsidRDefault="003B7A2E" w:rsidP="003B7A2E">
      <w:pPr>
        <w:pStyle w:val="Zkladntextodsazen"/>
        <w:tabs>
          <w:tab w:val="left" w:pos="426"/>
        </w:tabs>
        <w:ind w:left="0" w:firstLine="0"/>
        <w:rPr>
          <w:rFonts w:ascii="Arial" w:hAnsi="Arial" w:cs="Arial"/>
          <w:bCs/>
        </w:rPr>
      </w:pPr>
      <w:r w:rsidRPr="00FF7228">
        <w:rPr>
          <w:bCs/>
        </w:rPr>
        <w:t xml:space="preserve">Označení </w:t>
      </w:r>
      <w:r w:rsidRPr="00FF7228">
        <w:t>ve smyslu nařízení (ES) č. 1272/2008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6005"/>
      </w:tblGrid>
      <w:tr w:rsidR="00DE034C" w:rsidRPr="00FF7228" w14:paraId="3DF332B4" w14:textId="77777777" w:rsidTr="003F58FC">
        <w:tc>
          <w:tcPr>
            <w:tcW w:w="2977" w:type="dxa"/>
          </w:tcPr>
          <w:p w14:paraId="2147434B" w14:textId="77777777" w:rsidR="00DE034C" w:rsidRPr="00FF7228" w:rsidRDefault="00DE034C" w:rsidP="003F58FC">
            <w:pPr>
              <w:pStyle w:val="NormalTab"/>
            </w:pPr>
            <w:r w:rsidRPr="00FF7228">
              <w:t>Identifikátor výrobku:</w:t>
            </w:r>
          </w:p>
        </w:tc>
        <w:tc>
          <w:tcPr>
            <w:tcW w:w="6095" w:type="dxa"/>
          </w:tcPr>
          <w:p w14:paraId="45ED5C1A" w14:textId="631CFADC" w:rsidR="00DE034C" w:rsidRPr="00FF7228" w:rsidRDefault="00DC1880" w:rsidP="008A09BC">
            <w:pPr>
              <w:ind w:left="0"/>
            </w:pPr>
            <w:proofErr w:type="spellStart"/>
            <w:r>
              <w:rPr>
                <w:bCs/>
              </w:rPr>
              <w:t>Primo</w:t>
            </w:r>
            <w:r w:rsidR="00AE273E">
              <w:rPr>
                <w:bCs/>
              </w:rPr>
              <w:t>na</w:t>
            </w:r>
            <w:proofErr w:type="spellEnd"/>
            <w:r w:rsidR="0020406A" w:rsidRPr="00FF7228">
              <w:rPr>
                <w:bCs/>
              </w:rPr>
              <w:t xml:space="preserve"> </w:t>
            </w:r>
            <w:r w:rsidR="008A09BC">
              <w:rPr>
                <w:bCs/>
              </w:rPr>
              <w:t>univerzální čistič Lemon</w:t>
            </w:r>
            <w:r w:rsidR="00F014A0">
              <w:rPr>
                <w:bCs/>
              </w:rPr>
              <w:t xml:space="preserve"> </w:t>
            </w:r>
          </w:p>
        </w:tc>
      </w:tr>
      <w:tr w:rsidR="00DE034C" w:rsidRPr="00FF7228" w14:paraId="656C2019" w14:textId="77777777" w:rsidTr="003F58FC">
        <w:tc>
          <w:tcPr>
            <w:tcW w:w="2977" w:type="dxa"/>
          </w:tcPr>
          <w:p w14:paraId="35ECF464" w14:textId="77777777" w:rsidR="00E148AF" w:rsidRPr="00FF7228" w:rsidRDefault="00E148AF" w:rsidP="003F58FC">
            <w:pPr>
              <w:pStyle w:val="NormalTab"/>
            </w:pPr>
            <w:r w:rsidRPr="00FF7228">
              <w:t>Nebezpečné látky:</w:t>
            </w:r>
          </w:p>
        </w:tc>
        <w:tc>
          <w:tcPr>
            <w:tcW w:w="6095" w:type="dxa"/>
          </w:tcPr>
          <w:p w14:paraId="5E68615D" w14:textId="77777777" w:rsidR="00DE034C" w:rsidRPr="00FF7228" w:rsidRDefault="00422BF3" w:rsidP="00422BF3">
            <w:pPr>
              <w:ind w:left="0"/>
            </w:pPr>
            <w:r w:rsidRPr="00FF7228">
              <w:t>-</w:t>
            </w:r>
          </w:p>
        </w:tc>
      </w:tr>
      <w:tr w:rsidR="00DE034C" w:rsidRPr="00FF7228" w14:paraId="0DB0E1AC" w14:textId="77777777" w:rsidTr="003F58FC">
        <w:tc>
          <w:tcPr>
            <w:tcW w:w="2977" w:type="dxa"/>
          </w:tcPr>
          <w:p w14:paraId="00184DD5" w14:textId="77777777" w:rsidR="00DE034C" w:rsidRPr="00FF7228" w:rsidRDefault="00DE034C" w:rsidP="003F58FC">
            <w:pPr>
              <w:pStyle w:val="NormalTab"/>
            </w:pPr>
            <w:r w:rsidRPr="00FF7228">
              <w:t>Výstražný symbol nebezpečnosti:</w:t>
            </w:r>
          </w:p>
        </w:tc>
        <w:tc>
          <w:tcPr>
            <w:tcW w:w="6095" w:type="dxa"/>
          </w:tcPr>
          <w:p w14:paraId="3F6E8353" w14:textId="77777777" w:rsidR="00DE034C" w:rsidRPr="00FF7228" w:rsidRDefault="00A3462D" w:rsidP="00422BF3">
            <w:pPr>
              <w:ind w:left="0"/>
            </w:pPr>
            <w:r>
              <w:rPr>
                <w:noProof/>
              </w:rPr>
              <w:drawing>
                <wp:inline distT="0" distB="0" distL="0" distR="0" wp14:anchorId="3DECB583" wp14:editId="3CFC2E58">
                  <wp:extent cx="762000" cy="762000"/>
                  <wp:effectExtent l="19050" t="0" r="0" b="0"/>
                  <wp:docPr id="1" name="obrázek 1"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r w:rsidR="00DE034C" w:rsidRPr="00FF7228" w14:paraId="27802A7D" w14:textId="77777777" w:rsidTr="003F58FC">
        <w:tc>
          <w:tcPr>
            <w:tcW w:w="2977" w:type="dxa"/>
          </w:tcPr>
          <w:p w14:paraId="55CE2E6B" w14:textId="77777777" w:rsidR="00DE034C" w:rsidRPr="00FF7228" w:rsidRDefault="00DE034C" w:rsidP="003F58FC">
            <w:pPr>
              <w:ind w:left="0"/>
            </w:pPr>
            <w:r w:rsidRPr="00FF7228">
              <w:t>Signální slovo:</w:t>
            </w:r>
          </w:p>
        </w:tc>
        <w:tc>
          <w:tcPr>
            <w:tcW w:w="6095" w:type="dxa"/>
          </w:tcPr>
          <w:p w14:paraId="61D79BC8" w14:textId="77777777" w:rsidR="00DE034C" w:rsidRPr="00FF7228" w:rsidRDefault="00AA47B2" w:rsidP="00422BF3">
            <w:pPr>
              <w:ind w:left="0"/>
              <w:rPr>
                <w:bCs/>
              </w:rPr>
            </w:pPr>
            <w:r w:rsidRPr="00FF7228">
              <w:rPr>
                <w:bCs/>
              </w:rPr>
              <w:t xml:space="preserve">Varování </w:t>
            </w:r>
          </w:p>
        </w:tc>
      </w:tr>
      <w:tr w:rsidR="00DE034C" w:rsidRPr="00FF7228" w14:paraId="514BB37D" w14:textId="77777777" w:rsidTr="003F58FC">
        <w:tc>
          <w:tcPr>
            <w:tcW w:w="2977" w:type="dxa"/>
          </w:tcPr>
          <w:p w14:paraId="7AEAC749" w14:textId="77777777" w:rsidR="00DE034C" w:rsidRPr="00FF7228" w:rsidRDefault="00DE034C" w:rsidP="003F58FC">
            <w:pPr>
              <w:ind w:left="0"/>
            </w:pPr>
            <w:r w:rsidRPr="00FF7228">
              <w:t>Standardní věty o nebezpečnosti:</w:t>
            </w:r>
          </w:p>
        </w:tc>
        <w:tc>
          <w:tcPr>
            <w:tcW w:w="6095" w:type="dxa"/>
          </w:tcPr>
          <w:p w14:paraId="1BEC3F79" w14:textId="77777777" w:rsidR="00DE034C" w:rsidRPr="00FF7228" w:rsidRDefault="00AA47B2" w:rsidP="00422BF3">
            <w:pPr>
              <w:ind w:left="0"/>
              <w:rPr>
                <w:bCs/>
              </w:rPr>
            </w:pPr>
            <w:r w:rsidRPr="00FF7228">
              <w:rPr>
                <w:bCs/>
              </w:rPr>
              <w:t>H319</w:t>
            </w:r>
            <w:r w:rsidR="00422BF3" w:rsidRPr="00FF7228">
              <w:t xml:space="preserve"> Způsobuje vážné podráždění očí.</w:t>
            </w:r>
          </w:p>
        </w:tc>
      </w:tr>
    </w:tbl>
    <w:p w14:paraId="60319488" w14:textId="77777777" w:rsidR="003B0F10" w:rsidRPr="00FF7228" w:rsidRDefault="003B0F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010"/>
      </w:tblGrid>
      <w:tr w:rsidR="00DE034C" w:rsidRPr="00FF7228" w14:paraId="2B7DE5AC" w14:textId="77777777" w:rsidTr="003F58FC">
        <w:tc>
          <w:tcPr>
            <w:tcW w:w="2977" w:type="dxa"/>
          </w:tcPr>
          <w:p w14:paraId="691C023D" w14:textId="77777777" w:rsidR="00DE034C" w:rsidRPr="00FF7228" w:rsidRDefault="00DE034C" w:rsidP="003F58FC">
            <w:pPr>
              <w:ind w:left="0"/>
            </w:pPr>
            <w:r w:rsidRPr="00FF7228">
              <w:t>Pokyny pro bezpečné zacházení:</w:t>
            </w:r>
          </w:p>
        </w:tc>
        <w:tc>
          <w:tcPr>
            <w:tcW w:w="6095" w:type="dxa"/>
          </w:tcPr>
          <w:p w14:paraId="728EE062" w14:textId="77777777" w:rsidR="00422BF3" w:rsidRPr="00FF7228" w:rsidRDefault="00422BF3" w:rsidP="00422BF3">
            <w:pPr>
              <w:overflowPunct/>
              <w:ind w:left="0"/>
              <w:textAlignment w:val="auto"/>
            </w:pPr>
            <w:r w:rsidRPr="00FF7228">
              <w:rPr>
                <w:bCs/>
              </w:rPr>
              <w:t>P101</w:t>
            </w:r>
            <w:r w:rsidRPr="00FF7228">
              <w:t xml:space="preserve"> Je-li nutná lékařská pomoc, mějte po ruce obal nebo štítek výrobku.</w:t>
            </w:r>
          </w:p>
          <w:p w14:paraId="6E4303F6" w14:textId="77777777" w:rsidR="00422BF3" w:rsidRPr="00FF7228" w:rsidRDefault="00422BF3" w:rsidP="00422BF3">
            <w:pPr>
              <w:overflowPunct/>
              <w:ind w:left="0"/>
              <w:textAlignment w:val="auto"/>
            </w:pPr>
            <w:r w:rsidRPr="00FF7228">
              <w:lastRenderedPageBreak/>
              <w:t>P102 Uchovávejte mimo dosah dětí.</w:t>
            </w:r>
          </w:p>
          <w:p w14:paraId="1BFBF805" w14:textId="77777777" w:rsidR="00422BF3" w:rsidRPr="00FF7228" w:rsidRDefault="00422BF3" w:rsidP="00422BF3">
            <w:pPr>
              <w:ind w:left="0"/>
              <w:rPr>
                <w:bCs/>
              </w:rPr>
            </w:pPr>
            <w:r w:rsidRPr="00FF7228">
              <w:rPr>
                <w:bCs/>
              </w:rPr>
              <w:t>P280</w:t>
            </w:r>
            <w:r w:rsidRPr="00FF7228">
              <w:t xml:space="preserve"> Používejte ochranné brýle.</w:t>
            </w:r>
          </w:p>
          <w:p w14:paraId="2C6690D7" w14:textId="77777777" w:rsidR="00422BF3" w:rsidRPr="00FF7228" w:rsidRDefault="00422BF3" w:rsidP="00422BF3">
            <w:pPr>
              <w:overflowPunct/>
              <w:ind w:left="0"/>
              <w:textAlignment w:val="auto"/>
            </w:pPr>
            <w:r w:rsidRPr="00FF7228">
              <w:t>P305 + P351 + P338 PŘI ZASAŽENÍ OČÍ: Několik minut opatrně vyplachujte vodou. Vyjměte kontaktní čočky, jsou-li nasazeny a pokud je lze vyjmout snadno. Pokračujte ve vyplachování.</w:t>
            </w:r>
          </w:p>
          <w:p w14:paraId="75CF4458" w14:textId="77777777" w:rsidR="00422BF3" w:rsidRPr="00FF7228" w:rsidRDefault="00422BF3" w:rsidP="00422BF3">
            <w:pPr>
              <w:overflowPunct/>
              <w:ind w:left="0"/>
              <w:textAlignment w:val="auto"/>
            </w:pPr>
            <w:r w:rsidRPr="00FF7228">
              <w:t>P337 + P313 Přetrvává-li podráždění očí: Vyhledejte lékařskou pomoc/ošetření.</w:t>
            </w:r>
          </w:p>
        </w:tc>
      </w:tr>
      <w:tr w:rsidR="00DE034C" w:rsidRPr="00FF7228" w14:paraId="5A65BE67" w14:textId="77777777" w:rsidTr="003F58FC">
        <w:tc>
          <w:tcPr>
            <w:tcW w:w="2977" w:type="dxa"/>
          </w:tcPr>
          <w:p w14:paraId="17E0BB26" w14:textId="77777777" w:rsidR="00DE034C" w:rsidRPr="00FF7228" w:rsidRDefault="00DE034C" w:rsidP="003F58FC">
            <w:pPr>
              <w:pStyle w:val="NormalTab"/>
            </w:pPr>
            <w:r w:rsidRPr="00FF7228">
              <w:lastRenderedPageBreak/>
              <w:t>Doplňující informace na štítku:</w:t>
            </w:r>
          </w:p>
        </w:tc>
        <w:tc>
          <w:tcPr>
            <w:tcW w:w="6095" w:type="dxa"/>
          </w:tcPr>
          <w:p w14:paraId="2378551B" w14:textId="77777777" w:rsidR="00DE034C" w:rsidRPr="00FF7228" w:rsidRDefault="00422BF3" w:rsidP="003F58FC">
            <w:pPr>
              <w:ind w:left="0"/>
              <w:rPr>
                <w:b/>
                <w:bCs/>
              </w:rPr>
            </w:pPr>
            <w:r w:rsidRPr="00FF7228">
              <w:rPr>
                <w:b/>
                <w:bCs/>
              </w:rPr>
              <w:t>-</w:t>
            </w:r>
          </w:p>
        </w:tc>
      </w:tr>
    </w:tbl>
    <w:p w14:paraId="0C466E35" w14:textId="77777777" w:rsidR="00C968D9" w:rsidRPr="00FF7228" w:rsidRDefault="00C968D9" w:rsidP="00E33AC4">
      <w:pPr>
        <w:pStyle w:val="Zkladntextodsazen"/>
        <w:tabs>
          <w:tab w:val="left" w:pos="426"/>
        </w:tabs>
        <w:spacing w:before="120"/>
        <w:ind w:left="1" w:firstLine="0"/>
      </w:pPr>
      <w:r w:rsidRPr="00FF7228">
        <w:t xml:space="preserve">Označení na štítku pro širokou veřejnost podle nařízení Rady (ES) č. 648/2004 o detergentech: </w:t>
      </w:r>
    </w:p>
    <w:p w14:paraId="04FE933E" w14:textId="77777777" w:rsidR="00422BF3" w:rsidRPr="00FF7228" w:rsidRDefault="00422BF3" w:rsidP="00422BF3">
      <w:pPr>
        <w:ind w:left="0"/>
        <w:rPr>
          <w:lang w:eastAsia="en-US"/>
        </w:rPr>
      </w:pPr>
      <w:r w:rsidRPr="00FF7228">
        <w:t xml:space="preserve">- </w:t>
      </w:r>
      <w:r w:rsidR="00B93A3A">
        <w:rPr>
          <w:lang w:eastAsia="en-US"/>
        </w:rPr>
        <w:t>5-15%</w:t>
      </w:r>
      <w:r w:rsidR="0020406A" w:rsidRPr="00FF7228">
        <w:t xml:space="preserve"> a</w:t>
      </w:r>
      <w:r w:rsidR="0020406A" w:rsidRPr="00FF7228">
        <w:rPr>
          <w:lang w:eastAsia="en-US"/>
        </w:rPr>
        <w:t>niontové povrchově aktivní látky,</w:t>
      </w:r>
    </w:p>
    <w:p w14:paraId="3563568A" w14:textId="77777777" w:rsidR="00422BF3" w:rsidRPr="00FF7228" w:rsidRDefault="00422BF3" w:rsidP="00422BF3">
      <w:pPr>
        <w:ind w:left="0"/>
        <w:rPr>
          <w:lang w:eastAsia="en-US"/>
        </w:rPr>
      </w:pPr>
      <w:r w:rsidRPr="00FF7228">
        <w:rPr>
          <w:lang w:eastAsia="en-US"/>
        </w:rPr>
        <w:t xml:space="preserve">- </w:t>
      </w:r>
      <w:r w:rsidR="004213BE">
        <w:rPr>
          <w:lang w:eastAsia="en-US"/>
        </w:rPr>
        <w:t>konzervační činidlo (</w:t>
      </w:r>
      <w:r w:rsidRPr="00FF7228">
        <w:t>2</w:t>
      </w:r>
      <w:r w:rsidR="00F014A0">
        <w:t xml:space="preserve">-BROMO-2-NITROPROPANE-1,3-DIOL) </w:t>
      </w:r>
    </w:p>
    <w:p w14:paraId="3EFBBBA2" w14:textId="77777777" w:rsidR="00422BF3" w:rsidRPr="00FF7228" w:rsidRDefault="00422BF3" w:rsidP="00422BF3">
      <w:pPr>
        <w:ind w:left="0"/>
        <w:rPr>
          <w:lang w:eastAsia="en-US"/>
        </w:rPr>
      </w:pPr>
      <w:r w:rsidRPr="00FF7228">
        <w:rPr>
          <w:lang w:eastAsia="en-US"/>
        </w:rPr>
        <w:t xml:space="preserve">- parfém </w:t>
      </w:r>
      <w:r w:rsidR="00F014A0">
        <w:rPr>
          <w:lang w:eastAsia="en-US"/>
        </w:rPr>
        <w:t>(CITRAL)</w:t>
      </w:r>
    </w:p>
    <w:p w14:paraId="5A5A04F9" w14:textId="77777777" w:rsidR="00E44A0C" w:rsidRPr="00FF7228" w:rsidRDefault="00E44A0C">
      <w:pPr>
        <w:pStyle w:val="Zkladntextodsazen"/>
        <w:tabs>
          <w:tab w:val="left" w:pos="426"/>
        </w:tabs>
        <w:spacing w:before="120"/>
        <w:ind w:left="1" w:firstLine="0"/>
        <w:rPr>
          <w:rFonts w:ascii="Arial" w:hAnsi="Arial" w:cs="Arial"/>
          <w:b/>
          <w:bCs/>
        </w:rPr>
      </w:pPr>
      <w:proofErr w:type="gramStart"/>
      <w:r w:rsidRPr="00FF7228">
        <w:rPr>
          <w:rFonts w:ascii="Arial" w:hAnsi="Arial" w:cs="Arial"/>
          <w:b/>
          <w:bCs/>
        </w:rPr>
        <w:t>2.3  Další</w:t>
      </w:r>
      <w:proofErr w:type="gramEnd"/>
      <w:r w:rsidRPr="00FF7228">
        <w:rPr>
          <w:rFonts w:ascii="Arial" w:hAnsi="Arial" w:cs="Arial"/>
          <w:b/>
          <w:bCs/>
        </w:rPr>
        <w:t xml:space="preserve"> nebezpečnost</w:t>
      </w:r>
    </w:p>
    <w:p w14:paraId="4A7DBD77" w14:textId="77777777" w:rsidR="0020406A" w:rsidRPr="00FF7228" w:rsidRDefault="0020406A" w:rsidP="0020406A">
      <w:pPr>
        <w:pStyle w:val="Zkladntextodsazen"/>
        <w:ind w:left="0" w:firstLine="0"/>
      </w:pPr>
      <w:r w:rsidRPr="00FF7228">
        <w:t>K datu vyhotovení bezpečnostního listu nejsou obsažené látky zařazeny na kandidátské listině (seznam SVHC látek) pro zařazení do přílohy XIV nařízení REACH.</w:t>
      </w:r>
    </w:p>
    <w:p w14:paraId="54DA657B"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3: </w:t>
      </w:r>
      <w:r w:rsidRPr="00FF7228">
        <w:rPr>
          <w:caps w:val="0"/>
        </w:rPr>
        <w:t xml:space="preserve">Složení/informace o složkách </w:t>
      </w:r>
    </w:p>
    <w:p w14:paraId="5974050F" w14:textId="77777777" w:rsidR="00E44A0C" w:rsidRPr="00FF7228" w:rsidRDefault="00E44A0C">
      <w:pPr>
        <w:pStyle w:val="Nadpis2"/>
        <w:numPr>
          <w:ilvl w:val="0"/>
          <w:numId w:val="0"/>
        </w:numPr>
        <w:tabs>
          <w:tab w:val="left" w:pos="426"/>
        </w:tabs>
        <w:jc w:val="both"/>
        <w:rPr>
          <w:bCs/>
        </w:rPr>
      </w:pPr>
      <w:r w:rsidRPr="00FF7228">
        <w:rPr>
          <w:bCs/>
        </w:rPr>
        <w:t>3.1</w:t>
      </w:r>
      <w:r w:rsidRPr="00FF7228">
        <w:rPr>
          <w:bCs/>
        </w:rPr>
        <w:tab/>
        <w:t xml:space="preserve">Látky </w:t>
      </w:r>
    </w:p>
    <w:p w14:paraId="52F3076F" w14:textId="77777777" w:rsidR="00E44A0C" w:rsidRPr="00FF7228" w:rsidRDefault="00E44A0C">
      <w:pPr>
        <w:ind w:left="0"/>
        <w:jc w:val="both"/>
      </w:pPr>
      <w:r w:rsidRPr="00FF7228">
        <w:t>Produkt je směsí více látek.</w:t>
      </w:r>
    </w:p>
    <w:p w14:paraId="5071183F" w14:textId="77777777" w:rsidR="00E44A0C" w:rsidRPr="00FF7228" w:rsidRDefault="00E44A0C">
      <w:pPr>
        <w:pStyle w:val="Nadpis2"/>
        <w:numPr>
          <w:ilvl w:val="0"/>
          <w:numId w:val="0"/>
        </w:numPr>
        <w:jc w:val="both"/>
        <w:rPr>
          <w:iCs/>
        </w:rPr>
      </w:pPr>
      <w:proofErr w:type="gramStart"/>
      <w:r w:rsidRPr="00FF7228">
        <w:rPr>
          <w:iCs/>
        </w:rPr>
        <w:t>3.2  Směsi</w:t>
      </w:r>
      <w:proofErr w:type="gramEnd"/>
    </w:p>
    <w:p w14:paraId="1DBC0A72" w14:textId="77777777" w:rsidR="0020406A" w:rsidRPr="00FF7228" w:rsidRDefault="008D1E8D" w:rsidP="001D6C63">
      <w:pPr>
        <w:ind w:left="0"/>
      </w:pPr>
      <w:r>
        <w:t>Směs tenzidů, pomocných látek a parfému.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29"/>
        <w:gridCol w:w="1790"/>
        <w:gridCol w:w="3544"/>
      </w:tblGrid>
      <w:tr w:rsidR="00261C40" w:rsidRPr="00FF7228" w14:paraId="099FE0A8" w14:textId="77777777" w:rsidTr="00261C40">
        <w:tc>
          <w:tcPr>
            <w:tcW w:w="2268" w:type="dxa"/>
            <w:vAlign w:val="center"/>
          </w:tcPr>
          <w:p w14:paraId="51E97DEC" w14:textId="77777777" w:rsidR="00261C40" w:rsidRPr="00FF7228" w:rsidRDefault="00261C40" w:rsidP="00040B2E">
            <w:pPr>
              <w:pStyle w:val="NormalTab"/>
            </w:pPr>
            <w:r w:rsidRPr="00FF7228">
              <w:t>Identifikátor výrobku</w:t>
            </w:r>
          </w:p>
        </w:tc>
        <w:tc>
          <w:tcPr>
            <w:tcW w:w="1329" w:type="dxa"/>
            <w:vAlign w:val="center"/>
          </w:tcPr>
          <w:p w14:paraId="05909DA8" w14:textId="77777777" w:rsidR="00261C40" w:rsidRPr="00FF7228" w:rsidRDefault="00261C40" w:rsidP="00040B2E">
            <w:pPr>
              <w:ind w:left="0"/>
              <w:jc w:val="center"/>
            </w:pPr>
            <w:r w:rsidRPr="00FF7228">
              <w:t>Koncentrace / rozmezí koncentrace</w:t>
            </w:r>
          </w:p>
        </w:tc>
        <w:tc>
          <w:tcPr>
            <w:tcW w:w="1790" w:type="dxa"/>
            <w:vAlign w:val="center"/>
          </w:tcPr>
          <w:p w14:paraId="17FCDE1F" w14:textId="77777777" w:rsidR="00261C40" w:rsidRPr="00FF7228" w:rsidRDefault="00261C40" w:rsidP="00040B2E">
            <w:pPr>
              <w:ind w:left="0"/>
              <w:jc w:val="center"/>
            </w:pPr>
            <w:r w:rsidRPr="00FF7228">
              <w:t>Indexové číslo</w:t>
            </w:r>
          </w:p>
          <w:p w14:paraId="5AE2058E" w14:textId="77777777" w:rsidR="00261C40" w:rsidRPr="00FF7228" w:rsidRDefault="00261C40" w:rsidP="00040B2E">
            <w:pPr>
              <w:ind w:left="0"/>
              <w:jc w:val="center"/>
            </w:pPr>
            <w:r w:rsidRPr="00FF7228">
              <w:t>Číslo CAS</w:t>
            </w:r>
          </w:p>
          <w:p w14:paraId="2BFBFE91" w14:textId="77777777" w:rsidR="00261C40" w:rsidRPr="00FF7228" w:rsidRDefault="00261C40" w:rsidP="00040B2E">
            <w:pPr>
              <w:ind w:left="0"/>
              <w:jc w:val="center"/>
            </w:pPr>
            <w:r w:rsidRPr="00FF7228">
              <w:t>Číslo ES</w:t>
            </w:r>
          </w:p>
        </w:tc>
        <w:tc>
          <w:tcPr>
            <w:tcW w:w="3544" w:type="dxa"/>
            <w:vAlign w:val="center"/>
          </w:tcPr>
          <w:p w14:paraId="7D61BC51" w14:textId="77777777" w:rsidR="00261C40" w:rsidRPr="00FF7228" w:rsidRDefault="00261C40" w:rsidP="00040B2E">
            <w:pPr>
              <w:ind w:left="0"/>
              <w:jc w:val="center"/>
            </w:pPr>
            <w:r w:rsidRPr="00FF7228">
              <w:t xml:space="preserve">Klasifikace  </w:t>
            </w:r>
          </w:p>
          <w:p w14:paraId="29825FBF" w14:textId="77777777" w:rsidR="00261C40" w:rsidRPr="00FF7228" w:rsidRDefault="00261C40" w:rsidP="00040B2E">
            <w:pPr>
              <w:ind w:left="0"/>
              <w:jc w:val="center"/>
            </w:pPr>
            <w:r w:rsidRPr="00FF7228">
              <w:t>podle nařízení (ES) č. 1272/2008</w:t>
            </w:r>
          </w:p>
        </w:tc>
      </w:tr>
      <w:tr w:rsidR="00261C40" w:rsidRPr="00FF7228" w14:paraId="6DAF9111" w14:textId="77777777" w:rsidTr="00261C40">
        <w:tc>
          <w:tcPr>
            <w:tcW w:w="2268" w:type="dxa"/>
            <w:vAlign w:val="center"/>
          </w:tcPr>
          <w:p w14:paraId="557A3E55" w14:textId="77777777" w:rsidR="00261C40" w:rsidRPr="00FF7228" w:rsidRDefault="00261C40" w:rsidP="006C753C">
            <w:pPr>
              <w:overflowPunct/>
              <w:ind w:left="0"/>
              <w:textAlignment w:val="auto"/>
            </w:pPr>
            <w:proofErr w:type="spellStart"/>
            <w:r>
              <w:t>Laureth</w:t>
            </w:r>
            <w:proofErr w:type="spellEnd"/>
            <w:r>
              <w:t xml:space="preserve"> sulfát sodný</w:t>
            </w:r>
          </w:p>
        </w:tc>
        <w:tc>
          <w:tcPr>
            <w:tcW w:w="1329" w:type="dxa"/>
            <w:vAlign w:val="center"/>
          </w:tcPr>
          <w:p w14:paraId="4DB630A6" w14:textId="3F64737B" w:rsidR="00261C40" w:rsidRPr="00FF7228" w:rsidRDefault="00261C40" w:rsidP="006C753C">
            <w:pPr>
              <w:pStyle w:val="Normaltab0"/>
              <w:jc w:val="center"/>
            </w:pPr>
            <w:proofErr w:type="gramStart"/>
            <w:r>
              <w:t xml:space="preserve">&lt; </w:t>
            </w:r>
            <w:r w:rsidR="009D1B00">
              <w:t>2</w:t>
            </w:r>
            <w:proofErr w:type="gramEnd"/>
            <w:r>
              <w:t>,0 %</w:t>
            </w:r>
          </w:p>
        </w:tc>
        <w:tc>
          <w:tcPr>
            <w:tcW w:w="1790" w:type="dxa"/>
            <w:vAlign w:val="center"/>
          </w:tcPr>
          <w:p w14:paraId="61752E1D" w14:textId="77777777" w:rsidR="00261C40" w:rsidRDefault="00261C40" w:rsidP="006C753C">
            <w:pPr>
              <w:ind w:left="0"/>
              <w:jc w:val="center"/>
            </w:pPr>
            <w:r>
              <w:t>68891-38-3</w:t>
            </w:r>
          </w:p>
          <w:p w14:paraId="6776F842" w14:textId="77777777" w:rsidR="00261C40" w:rsidRPr="00FF7228" w:rsidRDefault="00261C40" w:rsidP="006C753C">
            <w:pPr>
              <w:ind w:left="0"/>
              <w:jc w:val="center"/>
            </w:pPr>
            <w:r>
              <w:t>500-234-8</w:t>
            </w:r>
          </w:p>
        </w:tc>
        <w:tc>
          <w:tcPr>
            <w:tcW w:w="3544" w:type="dxa"/>
            <w:vAlign w:val="center"/>
          </w:tcPr>
          <w:p w14:paraId="5A1EE121" w14:textId="77777777" w:rsidR="00261C40" w:rsidRPr="00FF7228" w:rsidRDefault="00261C40" w:rsidP="009E222B">
            <w:pPr>
              <w:pStyle w:val="NormalTab"/>
              <w:overflowPunct/>
              <w:jc w:val="center"/>
              <w:textAlignment w:val="auto"/>
            </w:pPr>
            <w:r>
              <w:t xml:space="preserve">Skin </w:t>
            </w:r>
            <w:proofErr w:type="spellStart"/>
            <w:r>
              <w:t>Irrit</w:t>
            </w:r>
            <w:proofErr w:type="spellEnd"/>
            <w:r>
              <w:t xml:space="preserve">. 2; H315 </w:t>
            </w:r>
            <w:proofErr w:type="spellStart"/>
            <w:r>
              <w:t>Eye</w:t>
            </w:r>
            <w:proofErr w:type="spellEnd"/>
            <w:r>
              <w:t xml:space="preserve"> Dam. 1; H318 </w:t>
            </w:r>
            <w:proofErr w:type="spellStart"/>
            <w:r>
              <w:t>Aquatic</w:t>
            </w:r>
            <w:proofErr w:type="spellEnd"/>
            <w:r>
              <w:t xml:space="preserve"> Chronic.3; H412</w:t>
            </w:r>
          </w:p>
        </w:tc>
      </w:tr>
      <w:tr w:rsidR="00261C40" w:rsidRPr="00FF7228" w14:paraId="6A3235F0" w14:textId="77777777" w:rsidTr="00261C40">
        <w:tc>
          <w:tcPr>
            <w:tcW w:w="2268" w:type="dxa"/>
            <w:vAlign w:val="center"/>
          </w:tcPr>
          <w:p w14:paraId="035D3077" w14:textId="77777777" w:rsidR="00261C40" w:rsidRPr="00FF7228" w:rsidRDefault="00261C40" w:rsidP="006C753C">
            <w:pPr>
              <w:overflowPunct/>
              <w:ind w:left="0"/>
              <w:textAlignment w:val="auto"/>
            </w:pPr>
            <w:proofErr w:type="spellStart"/>
            <w:r>
              <w:t>Alkylbenzensulfonát</w:t>
            </w:r>
            <w:proofErr w:type="spellEnd"/>
            <w:r>
              <w:t xml:space="preserve"> sodný</w:t>
            </w:r>
          </w:p>
        </w:tc>
        <w:tc>
          <w:tcPr>
            <w:tcW w:w="1329" w:type="dxa"/>
            <w:vAlign w:val="center"/>
          </w:tcPr>
          <w:p w14:paraId="2918FF4D" w14:textId="55D3BAC6" w:rsidR="00261C40" w:rsidRPr="00FF7228" w:rsidRDefault="00261C40" w:rsidP="006C753C">
            <w:pPr>
              <w:pStyle w:val="Normaltab0"/>
              <w:jc w:val="center"/>
            </w:pPr>
            <w:proofErr w:type="gramStart"/>
            <w:r>
              <w:t>&lt; 1</w:t>
            </w:r>
            <w:proofErr w:type="gramEnd"/>
            <w:r>
              <w:t>,</w:t>
            </w:r>
            <w:r w:rsidR="009D1B00">
              <w:t>0</w:t>
            </w:r>
            <w:r>
              <w:t xml:space="preserve"> %</w:t>
            </w:r>
          </w:p>
        </w:tc>
        <w:tc>
          <w:tcPr>
            <w:tcW w:w="1790" w:type="dxa"/>
            <w:vAlign w:val="center"/>
          </w:tcPr>
          <w:p w14:paraId="3F06FE0C" w14:textId="77777777" w:rsidR="00261C40" w:rsidRDefault="00261C40" w:rsidP="006C753C">
            <w:pPr>
              <w:ind w:left="0"/>
              <w:jc w:val="center"/>
            </w:pPr>
            <w:r>
              <w:t>85117-50-6</w:t>
            </w:r>
          </w:p>
          <w:p w14:paraId="0A4CDA5E" w14:textId="77777777" w:rsidR="00261C40" w:rsidRPr="00FF7228" w:rsidRDefault="00261C40" w:rsidP="006C753C">
            <w:pPr>
              <w:ind w:left="0"/>
              <w:jc w:val="center"/>
            </w:pPr>
            <w:r>
              <w:t>285-600-2</w:t>
            </w:r>
          </w:p>
        </w:tc>
        <w:tc>
          <w:tcPr>
            <w:tcW w:w="3544" w:type="dxa"/>
            <w:vAlign w:val="center"/>
          </w:tcPr>
          <w:p w14:paraId="416210FB" w14:textId="77777777" w:rsidR="00261C40" w:rsidRPr="00FF7228" w:rsidRDefault="00261C40" w:rsidP="009E222B">
            <w:pPr>
              <w:pStyle w:val="NormalTab"/>
              <w:overflowPunct/>
              <w:jc w:val="center"/>
              <w:textAlignment w:val="auto"/>
            </w:pPr>
            <w:proofErr w:type="spellStart"/>
            <w:r>
              <w:t>Acute</w:t>
            </w:r>
            <w:proofErr w:type="spellEnd"/>
            <w:r>
              <w:t xml:space="preserve"> </w:t>
            </w:r>
            <w:proofErr w:type="spellStart"/>
            <w:r>
              <w:t>Tox</w:t>
            </w:r>
            <w:proofErr w:type="spellEnd"/>
            <w:r>
              <w:t xml:space="preserve">. 4, H302 Skin Irrit.2; H315 </w:t>
            </w:r>
            <w:proofErr w:type="spellStart"/>
            <w:r>
              <w:t>Eye</w:t>
            </w:r>
            <w:proofErr w:type="spellEnd"/>
            <w:r>
              <w:t xml:space="preserve"> Dam. 1; H318</w:t>
            </w:r>
          </w:p>
        </w:tc>
      </w:tr>
    </w:tbl>
    <w:p w14:paraId="234C2057" w14:textId="77777777" w:rsidR="00C25E43" w:rsidRPr="00FF7228" w:rsidRDefault="00C25E43" w:rsidP="0004259D">
      <w:pPr>
        <w:overflowPunct/>
        <w:ind w:left="0"/>
        <w:textAlignment w:val="auto"/>
        <w:rPr>
          <w:iCs/>
        </w:rPr>
      </w:pPr>
    </w:p>
    <w:p w14:paraId="3A816F84" w14:textId="77777777" w:rsidR="0004259D" w:rsidRPr="00FF7228" w:rsidRDefault="0004259D" w:rsidP="0004259D">
      <w:pPr>
        <w:overflowPunct/>
        <w:ind w:left="0"/>
        <w:textAlignment w:val="auto"/>
        <w:rPr>
          <w:iCs/>
        </w:rPr>
      </w:pPr>
      <w:r w:rsidRPr="00FF7228">
        <w:rPr>
          <w:iCs/>
        </w:rPr>
        <w:t>Obsahuje parfémovou kompozici v koncentraci &lt; 1 % hm., z toho:</w:t>
      </w:r>
    </w:p>
    <w:p w14:paraId="129FE07D" w14:textId="77777777" w:rsidR="0004259D" w:rsidRPr="00FF7228" w:rsidRDefault="0004259D" w:rsidP="0004259D">
      <w:pPr>
        <w:overflowPunct/>
        <w:ind w:left="0"/>
        <w:textAlignment w:val="auto"/>
        <w:rPr>
          <w:iCs/>
        </w:rPr>
      </w:pPr>
      <w:r w:rsidRPr="00FF7228">
        <w:rPr>
          <w:iCs/>
        </w:rPr>
        <w:t>- alergeny obsažené v produktu v koncentraci c &gt; 1 %: žádné</w:t>
      </w:r>
    </w:p>
    <w:p w14:paraId="1A73E478" w14:textId="77777777" w:rsidR="0004259D" w:rsidRPr="00FF7228" w:rsidRDefault="0004259D" w:rsidP="0004259D">
      <w:pPr>
        <w:overflowPunct/>
        <w:ind w:left="0"/>
        <w:textAlignment w:val="auto"/>
        <w:rPr>
          <w:iCs/>
        </w:rPr>
      </w:pPr>
      <w:r w:rsidRPr="00FF7228">
        <w:rPr>
          <w:iCs/>
        </w:rPr>
        <w:t xml:space="preserve">- alergeny obsažené v produktu v koncentraci 1 &gt; c &gt; 0,1 %: </w:t>
      </w:r>
      <w:r w:rsidR="00C25E43" w:rsidRPr="00FF7228">
        <w:rPr>
          <w:iCs/>
        </w:rPr>
        <w:t>CITRAL</w:t>
      </w:r>
      <w:r w:rsidRPr="00FF7228">
        <w:rPr>
          <w:iCs/>
        </w:rPr>
        <w:t xml:space="preserve"> (CAS: </w:t>
      </w:r>
      <w:r w:rsidR="00C25E43" w:rsidRPr="00FF7228">
        <w:t>5392-40-5</w:t>
      </w:r>
      <w:r w:rsidRPr="00FF7228">
        <w:rPr>
          <w:iCs/>
        </w:rPr>
        <w:t>)</w:t>
      </w:r>
    </w:p>
    <w:p w14:paraId="6B1086E3" w14:textId="77777777" w:rsidR="0004259D" w:rsidRPr="00FF7228" w:rsidRDefault="0004259D" w:rsidP="0004259D">
      <w:pPr>
        <w:ind w:left="0"/>
      </w:pPr>
      <w:r w:rsidRPr="00FF7228">
        <w:rPr>
          <w:iCs/>
        </w:rPr>
        <w:t>- alergeny obsažené v produktu v koncentraci 0,1 &gt; c &gt; 0,01 %: žádné</w:t>
      </w:r>
    </w:p>
    <w:p w14:paraId="7413B49D"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4: </w:t>
      </w:r>
      <w:r w:rsidRPr="00FF7228">
        <w:rPr>
          <w:caps w:val="0"/>
        </w:rPr>
        <w:t xml:space="preserve">Pokyny pro první pomoc </w:t>
      </w:r>
    </w:p>
    <w:p w14:paraId="3304D882" w14:textId="77777777" w:rsidR="00E44A0C" w:rsidRPr="00FF7228" w:rsidRDefault="00E44A0C">
      <w:pPr>
        <w:pStyle w:val="Nadpis2"/>
        <w:numPr>
          <w:ilvl w:val="0"/>
          <w:numId w:val="0"/>
        </w:numPr>
        <w:jc w:val="both"/>
      </w:pPr>
      <w:proofErr w:type="gramStart"/>
      <w:r w:rsidRPr="00FF7228">
        <w:t>4.1  Popis</w:t>
      </w:r>
      <w:proofErr w:type="gramEnd"/>
      <w:r w:rsidRPr="00FF7228">
        <w:t xml:space="preserve"> první pomoci</w:t>
      </w:r>
    </w:p>
    <w:p w14:paraId="5BF2B53D" w14:textId="77777777" w:rsidR="00CC2AE8" w:rsidRPr="00FF7228" w:rsidRDefault="00CC2AE8" w:rsidP="00CC2AE8">
      <w:pPr>
        <w:pStyle w:val="Zkladntextodsazen2"/>
        <w:spacing w:after="0" w:line="240" w:lineRule="auto"/>
        <w:ind w:left="0"/>
        <w:jc w:val="both"/>
      </w:pPr>
      <w:r w:rsidRPr="00FF7228">
        <w:t xml:space="preserve">Při zasažení produktem není obvykle nutná okamžitá lékařská pomoc. Projeví-li se zdravotní potíže, nebo v případě pochybností, vyhledat lékaře a poskytnout mu údaje z tohoto bezpečnostního listu nebo etikety. Dodržovat obvyklá pravidla a opatření pro manipulaci s chemikáliemi a </w:t>
      </w:r>
      <w:r w:rsidR="008200B2" w:rsidRPr="00FF7228">
        <w:t>h</w:t>
      </w:r>
      <w:r w:rsidRPr="00FF7228">
        <w:t>ygienická opatření.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726"/>
      </w:tblGrid>
      <w:tr w:rsidR="00E44A0C" w:rsidRPr="00FF7228" w14:paraId="0A57E475" w14:textId="77777777">
        <w:tc>
          <w:tcPr>
            <w:tcW w:w="1346" w:type="dxa"/>
          </w:tcPr>
          <w:p w14:paraId="091FBFFA" w14:textId="77777777" w:rsidR="00E44A0C" w:rsidRPr="00FF7228" w:rsidRDefault="00E44A0C" w:rsidP="00CC2AE8">
            <w:pPr>
              <w:pStyle w:val="NormalTab"/>
              <w:jc w:val="both"/>
              <w:rPr>
                <w:i/>
                <w:iCs/>
              </w:rPr>
            </w:pPr>
            <w:r w:rsidRPr="00FF7228">
              <w:rPr>
                <w:i/>
                <w:iCs/>
              </w:rPr>
              <w:t>Vdechnutí:</w:t>
            </w:r>
          </w:p>
        </w:tc>
        <w:tc>
          <w:tcPr>
            <w:tcW w:w="7726" w:type="dxa"/>
          </w:tcPr>
          <w:p w14:paraId="221492FE" w14:textId="77777777" w:rsidR="00E44A0C" w:rsidRPr="00FF7228" w:rsidRDefault="00CC2AE8" w:rsidP="003B2FA4">
            <w:pPr>
              <w:pStyle w:val="Zkladntextodsazen3"/>
              <w:spacing w:after="0"/>
              <w:ind w:left="0"/>
              <w:jc w:val="both"/>
              <w:rPr>
                <w:b/>
                <w:bCs/>
                <w:sz w:val="20"/>
                <w:szCs w:val="20"/>
              </w:rPr>
            </w:pPr>
            <w:r w:rsidRPr="00FF7228">
              <w:rPr>
                <w:sz w:val="20"/>
                <w:szCs w:val="20"/>
              </w:rPr>
              <w:t xml:space="preserve">Při nadýchání a/nebo podráždění dýchacích cest přerušit expozici, zajistit přívod čerstvého vzduchu. Ponechat postiženého v klidu a teple, nenechat ho chodit a prochladnout. Při přetrvávajících potížích vyhledat lékařskou pomoc. </w:t>
            </w:r>
          </w:p>
        </w:tc>
      </w:tr>
      <w:tr w:rsidR="00E44A0C" w:rsidRPr="00FF7228" w14:paraId="1F352DCA" w14:textId="77777777">
        <w:tc>
          <w:tcPr>
            <w:tcW w:w="1346" w:type="dxa"/>
          </w:tcPr>
          <w:p w14:paraId="68E4093C" w14:textId="77777777" w:rsidR="00E44A0C" w:rsidRPr="00FF7228" w:rsidRDefault="00E44A0C" w:rsidP="00CC2AE8">
            <w:pPr>
              <w:pStyle w:val="NormalTab"/>
              <w:jc w:val="both"/>
              <w:rPr>
                <w:i/>
                <w:iCs/>
              </w:rPr>
            </w:pPr>
            <w:r w:rsidRPr="00FF7228">
              <w:rPr>
                <w:i/>
                <w:iCs/>
              </w:rPr>
              <w:t>Styk s kůží:</w:t>
            </w:r>
          </w:p>
        </w:tc>
        <w:tc>
          <w:tcPr>
            <w:tcW w:w="7726" w:type="dxa"/>
          </w:tcPr>
          <w:p w14:paraId="0F432D80" w14:textId="77777777" w:rsidR="00E44A0C" w:rsidRPr="00FF7228" w:rsidRDefault="00CC2AE8" w:rsidP="003B2FA4">
            <w:pPr>
              <w:pStyle w:val="Zkladntextodsazen3"/>
              <w:spacing w:after="0"/>
              <w:ind w:left="0"/>
              <w:jc w:val="both"/>
              <w:rPr>
                <w:b/>
                <w:bCs/>
                <w:sz w:val="20"/>
                <w:szCs w:val="20"/>
              </w:rPr>
            </w:pPr>
            <w:r w:rsidRPr="00FF7228">
              <w:rPr>
                <w:sz w:val="20"/>
                <w:szCs w:val="20"/>
              </w:rPr>
              <w:t xml:space="preserve">Zasažené části pokožky umýt vodou a mýdlem a důkladně opláchnout vodou. Podrážděnou pokožku ošetřit vhodným reparačním prostředkem (krémem), pokud nedošlo ke zřetelnému podráždění kůže. Při přetrvávajících potížích vyhledat lékaře. </w:t>
            </w:r>
          </w:p>
        </w:tc>
      </w:tr>
      <w:tr w:rsidR="00E44A0C" w:rsidRPr="00FF7228" w14:paraId="17E18ECD" w14:textId="77777777">
        <w:tc>
          <w:tcPr>
            <w:tcW w:w="1346" w:type="dxa"/>
          </w:tcPr>
          <w:p w14:paraId="562A7141" w14:textId="77777777" w:rsidR="00E44A0C" w:rsidRPr="00FF7228" w:rsidRDefault="00E44A0C" w:rsidP="00CC2AE8">
            <w:pPr>
              <w:pStyle w:val="NormalTab"/>
              <w:jc w:val="both"/>
              <w:rPr>
                <w:i/>
                <w:iCs/>
              </w:rPr>
            </w:pPr>
            <w:r w:rsidRPr="00FF7228">
              <w:rPr>
                <w:i/>
                <w:iCs/>
              </w:rPr>
              <w:t>Styk s okem:</w:t>
            </w:r>
          </w:p>
        </w:tc>
        <w:tc>
          <w:tcPr>
            <w:tcW w:w="7726" w:type="dxa"/>
          </w:tcPr>
          <w:p w14:paraId="3547A068" w14:textId="77777777" w:rsidR="00E44A0C" w:rsidRPr="00FF7228" w:rsidRDefault="001D6C63" w:rsidP="003B2FA4">
            <w:pPr>
              <w:pStyle w:val="NormalTab"/>
              <w:jc w:val="both"/>
            </w:pPr>
            <w:r w:rsidRPr="00FF7228">
              <w:t>Okamžitě vyplachovat široce otevřené oči proudem tekoucí vlažné vody alespoň 15 minut. Vyjmout kontaktní čočky při vyplachování.</w:t>
            </w:r>
            <w:r w:rsidR="00CC2AE8" w:rsidRPr="00FF7228">
              <w:t xml:space="preserve"> Vyhledat lékařské ošetření.</w:t>
            </w:r>
          </w:p>
        </w:tc>
      </w:tr>
      <w:tr w:rsidR="00E44A0C" w:rsidRPr="00FF7228" w14:paraId="358ECF7A" w14:textId="77777777">
        <w:tc>
          <w:tcPr>
            <w:tcW w:w="1346" w:type="dxa"/>
          </w:tcPr>
          <w:p w14:paraId="432FF9DB" w14:textId="77777777" w:rsidR="00E44A0C" w:rsidRPr="00FF7228" w:rsidRDefault="00E44A0C" w:rsidP="00CC2AE8">
            <w:pPr>
              <w:pStyle w:val="NormalTab"/>
              <w:jc w:val="both"/>
              <w:rPr>
                <w:i/>
                <w:iCs/>
              </w:rPr>
            </w:pPr>
            <w:r w:rsidRPr="00FF7228">
              <w:rPr>
                <w:i/>
                <w:iCs/>
              </w:rPr>
              <w:t>Požití:</w:t>
            </w:r>
          </w:p>
        </w:tc>
        <w:tc>
          <w:tcPr>
            <w:tcW w:w="7726" w:type="dxa"/>
          </w:tcPr>
          <w:p w14:paraId="229126EB" w14:textId="77777777" w:rsidR="00E44A0C" w:rsidRPr="00FF7228" w:rsidRDefault="00CC2AE8" w:rsidP="008D0AA0">
            <w:pPr>
              <w:pStyle w:val="Zkladntextodsazen3"/>
              <w:spacing w:after="0"/>
              <w:ind w:left="0"/>
              <w:jc w:val="both"/>
              <w:rPr>
                <w:b/>
                <w:bCs/>
                <w:sz w:val="20"/>
                <w:szCs w:val="20"/>
              </w:rPr>
            </w:pPr>
            <w:r w:rsidRPr="00FF7228">
              <w:rPr>
                <w:sz w:val="20"/>
                <w:szCs w:val="20"/>
              </w:rPr>
              <w:t xml:space="preserve">Postiženého ponechat v klidu, ihned vypláchnout ústa velkým množstvím vody a nechat vypít 1 až </w:t>
            </w:r>
            <w:r w:rsidR="008D0AA0">
              <w:rPr>
                <w:sz w:val="20"/>
                <w:szCs w:val="20"/>
              </w:rPr>
              <w:t>2</w:t>
            </w:r>
            <w:r w:rsidRPr="00FF7228">
              <w:rPr>
                <w:sz w:val="20"/>
                <w:szCs w:val="20"/>
              </w:rPr>
              <w:t xml:space="preserve"> dl vlažné vody. Nevyvolávat zvracení. Zajistit co nejrychleji lékařské ošetření.</w:t>
            </w:r>
          </w:p>
        </w:tc>
      </w:tr>
    </w:tbl>
    <w:p w14:paraId="42BA4773" w14:textId="77777777" w:rsidR="00E44A0C" w:rsidRPr="00FF7228" w:rsidRDefault="00E44A0C">
      <w:pPr>
        <w:pStyle w:val="Nadpis2"/>
        <w:numPr>
          <w:ilvl w:val="0"/>
          <w:numId w:val="0"/>
        </w:numPr>
        <w:tabs>
          <w:tab w:val="left" w:pos="426"/>
        </w:tabs>
        <w:jc w:val="both"/>
      </w:pPr>
      <w:r w:rsidRPr="00FF7228">
        <w:t>4.2</w:t>
      </w:r>
      <w:r w:rsidRPr="00FF7228">
        <w:tab/>
        <w:t>Nejdůležitější akutní a opožděné symptomy a účinky</w:t>
      </w:r>
    </w:p>
    <w:p w14:paraId="7F53CF3B" w14:textId="77777777" w:rsidR="00E44A0C" w:rsidRPr="00FF7228" w:rsidRDefault="00E44A0C" w:rsidP="005C4CD5">
      <w:pPr>
        <w:ind w:left="2127" w:hanging="2127"/>
      </w:pPr>
      <w:r w:rsidRPr="00FF7228">
        <w:rPr>
          <w:i/>
          <w:iCs/>
        </w:rPr>
        <w:t>Stykem s kůží:</w:t>
      </w:r>
      <w:r w:rsidRPr="00FF7228">
        <w:rPr>
          <w:b/>
          <w:bCs/>
        </w:rPr>
        <w:tab/>
      </w:r>
      <w:r w:rsidR="002E1C5C" w:rsidRPr="00FF7228">
        <w:rPr>
          <w:bCs/>
        </w:rPr>
        <w:t>při dlouhodobém kontaktu s pokožkou může dojít k jejímu podráždění.</w:t>
      </w:r>
      <w:r w:rsidR="005C4CD5">
        <w:rPr>
          <w:bCs/>
        </w:rPr>
        <w:t xml:space="preserve"> Při nedostatečném omytí může dojít k dalšímu podráždění.</w:t>
      </w:r>
      <w:r w:rsidR="002E1C5C" w:rsidRPr="00FF7228">
        <w:rPr>
          <w:bCs/>
          <w:i/>
        </w:rPr>
        <w:t xml:space="preserve"> </w:t>
      </w:r>
    </w:p>
    <w:p w14:paraId="4D41FD13" w14:textId="77777777" w:rsidR="00E44A0C" w:rsidRPr="00FF7228" w:rsidRDefault="00E44A0C">
      <w:pPr>
        <w:ind w:left="0"/>
      </w:pPr>
      <w:r w:rsidRPr="00FF7228">
        <w:rPr>
          <w:i/>
          <w:iCs/>
        </w:rPr>
        <w:t>Stykem s očima:</w:t>
      </w:r>
      <w:r w:rsidRPr="00FF7228">
        <w:rPr>
          <w:i/>
          <w:iCs/>
        </w:rPr>
        <w:tab/>
      </w:r>
      <w:r w:rsidR="002E1C5C" w:rsidRPr="00FF7228">
        <w:rPr>
          <w:i/>
          <w:iCs/>
        </w:rPr>
        <w:tab/>
      </w:r>
      <w:r w:rsidR="00014420">
        <w:t>při vniknutí do očí vyvolává dráždění.</w:t>
      </w:r>
    </w:p>
    <w:p w14:paraId="77969871" w14:textId="77777777" w:rsidR="00E44A0C" w:rsidRPr="00FF7228" w:rsidRDefault="00E44A0C">
      <w:pPr>
        <w:pStyle w:val="Nadpis2"/>
        <w:numPr>
          <w:ilvl w:val="0"/>
          <w:numId w:val="0"/>
        </w:numPr>
        <w:tabs>
          <w:tab w:val="left" w:pos="426"/>
        </w:tabs>
        <w:jc w:val="both"/>
      </w:pPr>
      <w:r w:rsidRPr="00FF7228">
        <w:lastRenderedPageBreak/>
        <w:t>4.3</w:t>
      </w:r>
      <w:r w:rsidRPr="00FF7228">
        <w:tab/>
        <w:t>Pokyn týkající se okamžité lékařské pomoci a zvláštního ošetření</w:t>
      </w:r>
    </w:p>
    <w:p w14:paraId="67631F62" w14:textId="77777777" w:rsidR="00E44A0C" w:rsidRPr="00FF7228" w:rsidRDefault="00E012CC" w:rsidP="003B2FA4">
      <w:pPr>
        <w:ind w:left="0"/>
        <w:jc w:val="both"/>
      </w:pPr>
      <w:r w:rsidRPr="00FF7228">
        <w:t xml:space="preserve">Léčit podle symptomů. </w:t>
      </w:r>
    </w:p>
    <w:p w14:paraId="60B7E803"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5: </w:t>
      </w:r>
      <w:r w:rsidRPr="00FF7228">
        <w:rPr>
          <w:caps w:val="0"/>
        </w:rPr>
        <w:t>Opatření pro hašení požáru</w:t>
      </w:r>
    </w:p>
    <w:p w14:paraId="0A4CAD22" w14:textId="77777777" w:rsidR="001D6C63" w:rsidRPr="00FF7228" w:rsidRDefault="001D6C63" w:rsidP="001D6C63">
      <w:pPr>
        <w:pStyle w:val="Nadpis2"/>
        <w:numPr>
          <w:ilvl w:val="0"/>
          <w:numId w:val="0"/>
        </w:numPr>
        <w:tabs>
          <w:tab w:val="left" w:pos="426"/>
        </w:tabs>
        <w:jc w:val="both"/>
      </w:pPr>
      <w:r w:rsidRPr="00FF7228">
        <w:t>5.1</w:t>
      </w:r>
      <w:r w:rsidRPr="00FF7228">
        <w:tab/>
        <w:t>Hasiva</w:t>
      </w:r>
    </w:p>
    <w:p w14:paraId="3A9AB65C" w14:textId="77777777" w:rsidR="001D6C63" w:rsidRPr="00FF7228" w:rsidRDefault="003B2FA4" w:rsidP="003B2FA4">
      <w:pPr>
        <w:pStyle w:val="NormalTab"/>
        <w:ind w:left="2127" w:hanging="2127"/>
        <w:jc w:val="both"/>
      </w:pPr>
      <w:r w:rsidRPr="00FF7228">
        <w:t>Vhodná hasiva:</w:t>
      </w:r>
      <w:r w:rsidRPr="00FF7228">
        <w:tab/>
      </w:r>
      <w:r w:rsidRPr="00FF7228">
        <w:rPr>
          <w:snapToGrid w:val="0"/>
        </w:rPr>
        <w:t xml:space="preserve">produkt není hořlavý. Hasicí prostředky je třeba přizpůsobit charakteru okolí, </w:t>
      </w:r>
      <w:r w:rsidRPr="00FF7228">
        <w:t>použít tříštěný vodní proud, CO</w:t>
      </w:r>
      <w:r w:rsidRPr="00FF7228">
        <w:rPr>
          <w:vertAlign w:val="subscript"/>
        </w:rPr>
        <w:t>2</w:t>
      </w:r>
      <w:r w:rsidRPr="00FF7228">
        <w:t>, hasicí prášek, hasicí pěnu</w:t>
      </w:r>
      <w:r w:rsidRPr="00FF7228">
        <w:rPr>
          <w:snapToGrid w:val="0"/>
        </w:rPr>
        <w:t>.</w:t>
      </w:r>
    </w:p>
    <w:p w14:paraId="5C52CC6C" w14:textId="77777777" w:rsidR="001D6C63" w:rsidRPr="00FF7228" w:rsidRDefault="001D6C63" w:rsidP="001D6C63">
      <w:pPr>
        <w:pStyle w:val="NormalTab"/>
        <w:jc w:val="both"/>
      </w:pPr>
      <w:r w:rsidRPr="00FF7228">
        <w:t>Nevhodná hasiva:</w:t>
      </w:r>
      <w:r w:rsidRPr="00FF7228">
        <w:tab/>
      </w:r>
      <w:r w:rsidR="003B2FA4" w:rsidRPr="00FF7228">
        <w:t>nejsou známy.</w:t>
      </w:r>
    </w:p>
    <w:p w14:paraId="6F7945BD" w14:textId="77777777" w:rsidR="001D6C63" w:rsidRPr="00FF7228" w:rsidRDefault="001D6C63" w:rsidP="001D6C63">
      <w:pPr>
        <w:pStyle w:val="Nadpis2"/>
        <w:numPr>
          <w:ilvl w:val="0"/>
          <w:numId w:val="0"/>
        </w:numPr>
        <w:tabs>
          <w:tab w:val="left" w:pos="426"/>
        </w:tabs>
        <w:jc w:val="both"/>
      </w:pPr>
      <w:r w:rsidRPr="00FF7228">
        <w:t>5.2</w:t>
      </w:r>
      <w:r w:rsidRPr="00FF7228">
        <w:tab/>
        <w:t>Zvláštní nebezpečnost vyplývající z látky nebo směsi</w:t>
      </w:r>
    </w:p>
    <w:p w14:paraId="1A756331" w14:textId="77777777" w:rsidR="001D6C63" w:rsidRPr="00FF7228" w:rsidRDefault="003B2FA4" w:rsidP="001D6C63">
      <w:pPr>
        <w:ind w:left="0"/>
        <w:jc w:val="both"/>
      </w:pPr>
      <w:r w:rsidRPr="00FF7228">
        <w:t>Produkty nedokonalého spalování mohou obsahovat oxidy uhlíku. Nádoby vystavené ohni chladit vodním postřikem.</w:t>
      </w:r>
    </w:p>
    <w:p w14:paraId="246B0846" w14:textId="77777777" w:rsidR="001D6C63" w:rsidRPr="00FF7228" w:rsidRDefault="001D6C63" w:rsidP="001D6C63">
      <w:pPr>
        <w:pStyle w:val="Nadpis2"/>
        <w:numPr>
          <w:ilvl w:val="0"/>
          <w:numId w:val="0"/>
        </w:numPr>
        <w:tabs>
          <w:tab w:val="left" w:pos="426"/>
        </w:tabs>
        <w:jc w:val="both"/>
      </w:pPr>
      <w:r w:rsidRPr="00FF7228">
        <w:t>5.3</w:t>
      </w:r>
      <w:r w:rsidRPr="00FF7228">
        <w:tab/>
        <w:t>Pokyny pro hasiče</w:t>
      </w:r>
    </w:p>
    <w:p w14:paraId="3929251F" w14:textId="77777777" w:rsidR="001D6C63" w:rsidRPr="00FF7228" w:rsidRDefault="001D6C63" w:rsidP="001D6C63">
      <w:pPr>
        <w:ind w:left="0"/>
        <w:jc w:val="both"/>
      </w:pPr>
      <w:r w:rsidRPr="00FF7228">
        <w:t xml:space="preserve">Izolovaný dýchací přístroj </w:t>
      </w:r>
      <w:r w:rsidR="003B2FA4" w:rsidRPr="00FF7228">
        <w:rPr>
          <w:snapToGrid w:val="0"/>
        </w:rPr>
        <w:t>nezávislý na okolním vzduchu</w:t>
      </w:r>
      <w:r w:rsidR="003B2FA4" w:rsidRPr="00FF7228">
        <w:t xml:space="preserve"> </w:t>
      </w:r>
      <w:r w:rsidRPr="00FF7228">
        <w:t xml:space="preserve">(EN 137), </w:t>
      </w:r>
      <w:r w:rsidR="003B2FA4" w:rsidRPr="00FF7228">
        <w:rPr>
          <w:snapToGrid w:val="0"/>
        </w:rPr>
        <w:t>nehořlavý zásahový oděv, osobní ochranné prostředky.</w:t>
      </w:r>
      <w:r w:rsidR="003B2FA4" w:rsidRPr="00FF7228">
        <w:t xml:space="preserve"> </w:t>
      </w:r>
      <w:r w:rsidRPr="00FF7228">
        <w:t>Zabránit úniku použitých hasicích prostředků do kanalizace a vodních zdrojů.</w:t>
      </w:r>
    </w:p>
    <w:p w14:paraId="7A81D8DF" w14:textId="77777777" w:rsidR="001D6C63" w:rsidRPr="00FF7228" w:rsidRDefault="001D6C63" w:rsidP="001D6C63">
      <w:pPr>
        <w:pStyle w:val="Nadpis1"/>
        <w:numPr>
          <w:ilvl w:val="0"/>
          <w:numId w:val="0"/>
        </w:numPr>
        <w:pBdr>
          <w:top w:val="single" w:sz="6" w:space="1" w:color="auto"/>
          <w:bottom w:val="single" w:sz="6" w:space="1" w:color="auto"/>
        </w:pBdr>
        <w:jc w:val="both"/>
      </w:pPr>
      <w:r w:rsidRPr="00FF7228">
        <w:t xml:space="preserve">ODDÍL 6: </w:t>
      </w:r>
      <w:r w:rsidRPr="00FF7228">
        <w:rPr>
          <w:caps w:val="0"/>
        </w:rPr>
        <w:t>Opatření v případě náhodného úniku</w:t>
      </w:r>
    </w:p>
    <w:p w14:paraId="6269CF35" w14:textId="77777777" w:rsidR="001D6C63" w:rsidRPr="00FF7228" w:rsidRDefault="001D6C63" w:rsidP="001D6C63">
      <w:pPr>
        <w:pStyle w:val="Nadpis2"/>
        <w:numPr>
          <w:ilvl w:val="0"/>
          <w:numId w:val="0"/>
        </w:numPr>
        <w:tabs>
          <w:tab w:val="left" w:pos="426"/>
        </w:tabs>
        <w:jc w:val="both"/>
      </w:pPr>
      <w:r w:rsidRPr="00FF7228">
        <w:t>6.1</w:t>
      </w:r>
      <w:r w:rsidRPr="00FF7228">
        <w:tab/>
        <w:t>Opatření na ochranu osob, ochranné prostředky a nouzové postupy</w:t>
      </w:r>
    </w:p>
    <w:p w14:paraId="103F0930" w14:textId="77777777" w:rsidR="001F4EAA" w:rsidRPr="001F4EAA" w:rsidRDefault="001F4EAA" w:rsidP="00EC3888">
      <w:pPr>
        <w:overflowPunct/>
        <w:ind w:left="0"/>
        <w:jc w:val="both"/>
        <w:textAlignment w:val="auto"/>
      </w:pPr>
      <w:r w:rsidRPr="001F4EAA">
        <w:t>Dodrž</w:t>
      </w:r>
      <w:r>
        <w:t xml:space="preserve">ovat </w:t>
      </w:r>
      <w:r w:rsidRPr="001F4EAA">
        <w:t>pravidla bezpečnosti práce. Místo úniku označ</w:t>
      </w:r>
      <w:r>
        <w:t xml:space="preserve">it </w:t>
      </w:r>
      <w:r w:rsidRPr="001F4EAA">
        <w:t>a izol</w:t>
      </w:r>
      <w:r>
        <w:t>ovat</w:t>
      </w:r>
      <w:r w:rsidRPr="001F4EAA">
        <w:t>. Zabr</w:t>
      </w:r>
      <w:r>
        <w:t xml:space="preserve">ánit </w:t>
      </w:r>
      <w:r w:rsidRPr="001F4EAA">
        <w:t xml:space="preserve">vstupu nepovolaným osobám. </w:t>
      </w:r>
    </w:p>
    <w:p w14:paraId="5D501D40" w14:textId="77777777" w:rsidR="00EC3888" w:rsidRPr="00FF7228" w:rsidRDefault="00EC3888" w:rsidP="00EC3888">
      <w:pPr>
        <w:overflowPunct/>
        <w:ind w:left="0"/>
        <w:jc w:val="both"/>
        <w:textAlignment w:val="auto"/>
        <w:rPr>
          <w:rStyle w:val="hps"/>
        </w:rPr>
      </w:pPr>
      <w:r w:rsidRPr="00FF7228">
        <w:rPr>
          <w:rFonts w:eastAsia="Arial-BoldMT"/>
          <w:bCs/>
          <w:i/>
        </w:rPr>
        <w:t>Pro pracovníky kromě pracovníků zasahujících v případě nouze</w:t>
      </w:r>
      <w:r w:rsidRPr="00FF7228">
        <w:rPr>
          <w:rStyle w:val="hps"/>
          <w:i/>
        </w:rPr>
        <w:t>:</w:t>
      </w:r>
      <w:r w:rsidRPr="00FF7228">
        <w:rPr>
          <w:rStyle w:val="hps"/>
        </w:rPr>
        <w:t xml:space="preserve"> </w:t>
      </w:r>
    </w:p>
    <w:p w14:paraId="657EFD89" w14:textId="77777777" w:rsidR="003B2FA4" w:rsidRPr="00FF7228" w:rsidRDefault="001F4EAA" w:rsidP="00EC3888">
      <w:pPr>
        <w:overflowPunct/>
        <w:ind w:left="0"/>
        <w:jc w:val="both"/>
        <w:textAlignment w:val="auto"/>
        <w:rPr>
          <w:rStyle w:val="hps"/>
        </w:rPr>
      </w:pPr>
      <w:r>
        <w:t xml:space="preserve">Zamezit přímému kontaktu produktu s očima a kůží. </w:t>
      </w:r>
      <w:r w:rsidR="003B2FA4" w:rsidRPr="00FF7228">
        <w:t>Nevdechovat páry a zplodiny uvolňované z přehřátého produktu. Vykázat z místa nehody všechny osoby, které se nepodílejí na záchranných pracích. Personál udržovat na návětrné straně. Používat osobní ochranné prostředky</w:t>
      </w:r>
      <w:r>
        <w:t>.</w:t>
      </w:r>
      <w:r w:rsidR="003B2FA4" w:rsidRPr="00FF7228">
        <w:rPr>
          <w:bCs/>
        </w:rPr>
        <w:t xml:space="preserve"> Postup</w:t>
      </w:r>
      <w:r w:rsidR="00B42325" w:rsidRPr="00FF7228">
        <w:rPr>
          <w:bCs/>
        </w:rPr>
        <w:t xml:space="preserve">ovat </w:t>
      </w:r>
      <w:r w:rsidR="003B2FA4" w:rsidRPr="00FF7228">
        <w:rPr>
          <w:bCs/>
        </w:rPr>
        <w:t>podle pokynů obsažených v odd</w:t>
      </w:r>
      <w:r w:rsidR="00B42325" w:rsidRPr="00FF7228">
        <w:rPr>
          <w:bCs/>
        </w:rPr>
        <w:t>ílech</w:t>
      </w:r>
      <w:r w:rsidR="003B2FA4" w:rsidRPr="00FF7228">
        <w:rPr>
          <w:bCs/>
        </w:rPr>
        <w:t xml:space="preserve"> 7</w:t>
      </w:r>
      <w:r w:rsidR="00B42325" w:rsidRPr="00FF7228">
        <w:rPr>
          <w:bCs/>
        </w:rPr>
        <w:t>.</w:t>
      </w:r>
      <w:r w:rsidR="003B2FA4" w:rsidRPr="00FF7228">
        <w:rPr>
          <w:bCs/>
        </w:rPr>
        <w:t xml:space="preserve"> a 8</w:t>
      </w:r>
      <w:r w:rsidR="00B42325" w:rsidRPr="00FF7228">
        <w:rPr>
          <w:bCs/>
        </w:rPr>
        <w:t>.</w:t>
      </w:r>
    </w:p>
    <w:p w14:paraId="53D15014" w14:textId="77777777" w:rsidR="00EC3888" w:rsidRPr="00FF7228" w:rsidRDefault="00EC3888" w:rsidP="00EC3888">
      <w:pPr>
        <w:overflowPunct/>
        <w:ind w:left="0"/>
        <w:jc w:val="both"/>
        <w:textAlignment w:val="auto"/>
        <w:rPr>
          <w:rStyle w:val="hps"/>
          <w:i/>
        </w:rPr>
      </w:pPr>
      <w:r w:rsidRPr="00FF7228">
        <w:rPr>
          <w:rFonts w:eastAsia="Arial-BoldMT"/>
          <w:bCs/>
          <w:i/>
        </w:rPr>
        <w:t>Pro pracovníky zasahující v případě nouze</w:t>
      </w:r>
      <w:r w:rsidRPr="00FF7228">
        <w:rPr>
          <w:rStyle w:val="hps"/>
          <w:i/>
        </w:rPr>
        <w:t>:</w:t>
      </w:r>
    </w:p>
    <w:p w14:paraId="1FF9EAE8" w14:textId="77777777" w:rsidR="003B2FA4" w:rsidRPr="00FF7228" w:rsidRDefault="003B2FA4" w:rsidP="00B42325">
      <w:pPr>
        <w:pStyle w:val="Zkladntextodsazen"/>
        <w:ind w:left="0" w:firstLine="0"/>
        <w:rPr>
          <w:rStyle w:val="hps"/>
          <w:i/>
        </w:rPr>
      </w:pPr>
      <w:r w:rsidRPr="00FF7228">
        <w:t>Použív</w:t>
      </w:r>
      <w:r w:rsidR="00B42325" w:rsidRPr="00FF7228">
        <w:t xml:space="preserve">at </w:t>
      </w:r>
      <w:r w:rsidRPr="00FF7228">
        <w:t xml:space="preserve">osobní ochranné prostředky, </w:t>
      </w:r>
      <w:r w:rsidR="00B42325" w:rsidRPr="00FF7228">
        <w:t>viz oddíl</w:t>
      </w:r>
      <w:r w:rsidRPr="00FF7228">
        <w:t xml:space="preserve"> 8. Zabránit</w:t>
      </w:r>
      <w:r w:rsidR="00B42325" w:rsidRPr="00FF7228">
        <w:t xml:space="preserve"> </w:t>
      </w:r>
      <w:r w:rsidRPr="00FF7228">
        <w:t>kontaminaci životního prostředí, působení vody a vlhkosti</w:t>
      </w:r>
      <w:r w:rsidR="00B42325" w:rsidRPr="00FF7228">
        <w:t>.</w:t>
      </w:r>
    </w:p>
    <w:p w14:paraId="51B57F60" w14:textId="77777777" w:rsidR="001D6C63" w:rsidRPr="00FF7228" w:rsidRDefault="001D6C63" w:rsidP="001D6C63">
      <w:pPr>
        <w:pStyle w:val="Nadpis2"/>
        <w:numPr>
          <w:ilvl w:val="0"/>
          <w:numId w:val="0"/>
        </w:numPr>
        <w:tabs>
          <w:tab w:val="left" w:pos="426"/>
        </w:tabs>
        <w:jc w:val="both"/>
      </w:pPr>
      <w:r w:rsidRPr="00FF7228">
        <w:t>6.2</w:t>
      </w:r>
      <w:r w:rsidRPr="00FF7228">
        <w:tab/>
        <w:t>Opatření na ochranu životního prostředí</w:t>
      </w:r>
    </w:p>
    <w:p w14:paraId="3AE46F73" w14:textId="77777777" w:rsidR="001D6C63" w:rsidRPr="00FF7228" w:rsidRDefault="003B2FA4" w:rsidP="001D6C63">
      <w:pPr>
        <w:tabs>
          <w:tab w:val="left" w:pos="426"/>
        </w:tabs>
        <w:ind w:left="0"/>
        <w:jc w:val="both"/>
      </w:pPr>
      <w:r w:rsidRPr="00FF7228">
        <w:rPr>
          <w:snapToGrid w:val="0"/>
        </w:rPr>
        <w:t xml:space="preserve">Zabránit, aby </w:t>
      </w:r>
      <w:r w:rsidR="00B42325" w:rsidRPr="00FF7228">
        <w:rPr>
          <w:snapToGrid w:val="0"/>
        </w:rPr>
        <w:t>produkt u</w:t>
      </w:r>
      <w:r w:rsidRPr="00FF7228">
        <w:rPr>
          <w:snapToGrid w:val="0"/>
        </w:rPr>
        <w:t xml:space="preserve">nikl do kanalizace, povrchových a </w:t>
      </w:r>
      <w:r w:rsidR="00B42325" w:rsidRPr="00FF7228">
        <w:rPr>
          <w:snapToGrid w:val="0"/>
        </w:rPr>
        <w:t xml:space="preserve">podzemních </w:t>
      </w:r>
      <w:r w:rsidRPr="00FF7228">
        <w:rPr>
          <w:snapToGrid w:val="0"/>
        </w:rPr>
        <w:t xml:space="preserve">vod, půdy. </w:t>
      </w:r>
      <w:r w:rsidRPr="00FF7228">
        <w:t>Při průniku do vody inform</w:t>
      </w:r>
      <w:r w:rsidR="00B42325" w:rsidRPr="00FF7228">
        <w:t xml:space="preserve">ovat </w:t>
      </w:r>
      <w:r w:rsidRPr="00FF7228">
        <w:t>uživatele a zastav</w:t>
      </w:r>
      <w:r w:rsidR="00B42325" w:rsidRPr="00FF7228">
        <w:t>i</w:t>
      </w:r>
      <w:r w:rsidRPr="00FF7228">
        <w:t xml:space="preserve">t její používání. </w:t>
      </w:r>
      <w:r w:rsidRPr="00FF7228">
        <w:rPr>
          <w:snapToGrid w:val="0"/>
        </w:rPr>
        <w:t xml:space="preserve">Při úniku velkých množství </w:t>
      </w:r>
      <w:r w:rsidRPr="00FF7228">
        <w:t>zajist</w:t>
      </w:r>
      <w:r w:rsidR="00B42325" w:rsidRPr="00FF7228">
        <w:t>i</w:t>
      </w:r>
      <w:r w:rsidRPr="00FF7228">
        <w:t xml:space="preserve">t sanační práce ve spolupráci s příslušným </w:t>
      </w:r>
      <w:r w:rsidR="00B42325" w:rsidRPr="00FF7228">
        <w:t>Obecním úřadem</w:t>
      </w:r>
      <w:r w:rsidRPr="00FF7228">
        <w:t>, referátem životního prostředí nebo inspektorátem ČIŽP</w:t>
      </w:r>
      <w:r w:rsidR="00B42325" w:rsidRPr="00FF7228">
        <w:t>.</w:t>
      </w:r>
    </w:p>
    <w:p w14:paraId="689465FE" w14:textId="77777777" w:rsidR="001D6C63" w:rsidRPr="00FF7228" w:rsidRDefault="001D6C63" w:rsidP="003B2FA4">
      <w:pPr>
        <w:pStyle w:val="Nadpis2"/>
        <w:numPr>
          <w:ilvl w:val="0"/>
          <w:numId w:val="0"/>
        </w:numPr>
        <w:tabs>
          <w:tab w:val="left" w:pos="426"/>
        </w:tabs>
        <w:jc w:val="both"/>
      </w:pPr>
      <w:proofErr w:type="gramStart"/>
      <w:r w:rsidRPr="00FF7228">
        <w:t>6.3  Metody</w:t>
      </w:r>
      <w:proofErr w:type="gramEnd"/>
      <w:r w:rsidRPr="00FF7228">
        <w:t xml:space="preserve"> a materiál pro omezení úniku a pro čištění</w:t>
      </w:r>
    </w:p>
    <w:p w14:paraId="2019AB99" w14:textId="77777777" w:rsidR="001D6C63" w:rsidRPr="00FF7228" w:rsidRDefault="003B2FA4" w:rsidP="00B42325">
      <w:pPr>
        <w:tabs>
          <w:tab w:val="left" w:pos="426"/>
        </w:tabs>
        <w:ind w:left="0"/>
        <w:jc w:val="both"/>
      </w:pPr>
      <w:r w:rsidRPr="00FF7228">
        <w:rPr>
          <w:snapToGrid w:val="0"/>
        </w:rPr>
        <w:t xml:space="preserve">Při náhodném úniku zakrýt kanalizační vpusť. Zabránit dalšímu úniku. Větší množství odčerpat do označených nádob. Zbytky </w:t>
      </w:r>
      <w:r w:rsidRPr="00FF7228">
        <w:t>a</w:t>
      </w:r>
      <w:r w:rsidR="00B42325" w:rsidRPr="00FF7228">
        <w:t>b</w:t>
      </w:r>
      <w:r w:rsidRPr="00FF7228">
        <w:t xml:space="preserve">sorbovat do inertního sorbentu </w:t>
      </w:r>
      <w:r w:rsidRPr="00FF7228">
        <w:rPr>
          <w:snapToGrid w:val="0"/>
        </w:rPr>
        <w:t xml:space="preserve">(písek, křemelina, </w:t>
      </w:r>
      <w:proofErr w:type="spellStart"/>
      <w:r w:rsidRPr="00FF7228">
        <w:rPr>
          <w:snapToGrid w:val="0"/>
        </w:rPr>
        <w:t>vapex</w:t>
      </w:r>
      <w:proofErr w:type="spellEnd"/>
      <w:r w:rsidRPr="00FF7228">
        <w:rPr>
          <w:snapToGrid w:val="0"/>
        </w:rPr>
        <w:t>, kyselá nebo inertní pojiva)</w:t>
      </w:r>
      <w:r w:rsidR="00B42325" w:rsidRPr="00FF7228">
        <w:rPr>
          <w:snapToGrid w:val="0"/>
        </w:rPr>
        <w:t xml:space="preserve"> a znečištěný sorbent </w:t>
      </w:r>
      <w:r w:rsidRPr="00FF7228">
        <w:rPr>
          <w:snapToGrid w:val="0"/>
        </w:rPr>
        <w:t xml:space="preserve">uložit do označených nádob a dále postupovat </w:t>
      </w:r>
      <w:r w:rsidR="00B42325" w:rsidRPr="00FF7228">
        <w:rPr>
          <w:snapToGrid w:val="0"/>
        </w:rPr>
        <w:t>podle oddílu</w:t>
      </w:r>
      <w:r w:rsidRPr="00FF7228">
        <w:rPr>
          <w:snapToGrid w:val="0"/>
        </w:rPr>
        <w:t xml:space="preserve"> 13</w:t>
      </w:r>
      <w:r w:rsidRPr="00FF7228">
        <w:t>.</w:t>
      </w:r>
    </w:p>
    <w:p w14:paraId="13D8DCC2" w14:textId="77777777" w:rsidR="001D6C63" w:rsidRPr="00FF7228" w:rsidRDefault="001D6C63" w:rsidP="001D6C63">
      <w:pPr>
        <w:tabs>
          <w:tab w:val="left" w:pos="426"/>
        </w:tabs>
        <w:spacing w:before="120"/>
        <w:ind w:left="0"/>
        <w:jc w:val="both"/>
        <w:rPr>
          <w:rFonts w:ascii="Arial" w:hAnsi="Arial" w:cs="Arial"/>
          <w:b/>
          <w:bCs/>
        </w:rPr>
      </w:pPr>
      <w:r w:rsidRPr="00FF7228">
        <w:rPr>
          <w:rFonts w:ascii="Arial" w:hAnsi="Arial" w:cs="Arial"/>
          <w:b/>
          <w:bCs/>
        </w:rPr>
        <w:t>6.4</w:t>
      </w:r>
      <w:r w:rsidRPr="00FF7228">
        <w:rPr>
          <w:rFonts w:ascii="Arial" w:hAnsi="Arial" w:cs="Arial"/>
          <w:b/>
          <w:bCs/>
        </w:rPr>
        <w:tab/>
        <w:t>Odkaz na jiné oddíly</w:t>
      </w:r>
    </w:p>
    <w:p w14:paraId="0199BF98" w14:textId="77777777" w:rsidR="001D6C63" w:rsidRPr="00FF7228" w:rsidRDefault="001D6C63" w:rsidP="001D6C63">
      <w:pPr>
        <w:ind w:left="0"/>
        <w:jc w:val="both"/>
      </w:pPr>
      <w:r w:rsidRPr="00FF7228">
        <w:t>Řiďte se rovněž ustanoveními oddílů 8 a 13 tohoto bezpečnostního listu.</w:t>
      </w:r>
    </w:p>
    <w:p w14:paraId="0257D7C7" w14:textId="77777777" w:rsidR="001D6C63" w:rsidRPr="00FF7228" w:rsidRDefault="001D6C63" w:rsidP="001D6C63">
      <w:pPr>
        <w:pStyle w:val="Nadpis1"/>
        <w:numPr>
          <w:ilvl w:val="0"/>
          <w:numId w:val="0"/>
        </w:numPr>
        <w:pBdr>
          <w:top w:val="single" w:sz="6" w:space="1" w:color="auto"/>
          <w:bottom w:val="single" w:sz="6" w:space="1" w:color="auto"/>
        </w:pBdr>
      </w:pPr>
      <w:r w:rsidRPr="00FF7228">
        <w:t xml:space="preserve">ODDÍL 7: </w:t>
      </w:r>
      <w:r w:rsidRPr="00FF7228">
        <w:rPr>
          <w:caps w:val="0"/>
        </w:rPr>
        <w:t xml:space="preserve">Zacházení a skladování </w:t>
      </w:r>
    </w:p>
    <w:p w14:paraId="7EFDB18D" w14:textId="77777777" w:rsidR="001D6C63" w:rsidRPr="00FF7228" w:rsidRDefault="001D6C63" w:rsidP="001D6C63">
      <w:pPr>
        <w:pStyle w:val="Nadpis2"/>
        <w:numPr>
          <w:ilvl w:val="0"/>
          <w:numId w:val="0"/>
        </w:numPr>
        <w:tabs>
          <w:tab w:val="left" w:pos="426"/>
        </w:tabs>
        <w:jc w:val="both"/>
      </w:pPr>
      <w:r w:rsidRPr="00FF7228">
        <w:t>7.1</w:t>
      </w:r>
      <w:r w:rsidRPr="00FF7228">
        <w:tab/>
        <w:t>Opatření pro bezpečné zacházení</w:t>
      </w:r>
    </w:p>
    <w:p w14:paraId="659165C4" w14:textId="77777777" w:rsidR="00B42325" w:rsidRPr="00FF7228" w:rsidRDefault="00B42325" w:rsidP="005C4CD5">
      <w:pPr>
        <w:widowControl w:val="0"/>
        <w:tabs>
          <w:tab w:val="left" w:pos="563"/>
        </w:tabs>
        <w:ind w:left="0"/>
        <w:jc w:val="both"/>
        <w:rPr>
          <w:bCs/>
        </w:rPr>
      </w:pPr>
      <w:r w:rsidRPr="00FF7228">
        <w:rPr>
          <w:snapToGrid w:val="0"/>
        </w:rPr>
        <w:t xml:space="preserve">Při manipulaci s originálně zabaleným produktem nejsou potřebná žádná zvláštní ochranná opatření. </w:t>
      </w:r>
      <w:r w:rsidRPr="00FF7228">
        <w:rPr>
          <w:bCs/>
        </w:rPr>
        <w:t>Nejíst, nepít a nekouřit při používání</w:t>
      </w:r>
      <w:r w:rsidRPr="00FF7228">
        <w:t xml:space="preserve">. Dodržovat obvyklá pravidla a opatření pro manipulaci s chemikáliemi a hygienická opatření. Po ukončení práce </w:t>
      </w:r>
      <w:r w:rsidR="008200B2" w:rsidRPr="00FF7228">
        <w:t xml:space="preserve">si </w:t>
      </w:r>
      <w:r w:rsidRPr="00FF7228">
        <w:t xml:space="preserve">umýt ruce a před vstupem do stravovacích prostor odložit znečištěný oděv a ochranné prostředky. </w:t>
      </w:r>
      <w:r w:rsidR="001F4EAA">
        <w:t xml:space="preserve">Zamezit kontaktu s očima. Při manipulaci s nezabaleným produktem používat ochranné rukavice, eventuálně při dlouhodobé opakující se práci nosit ochranný oděv a ochranné brýle. </w:t>
      </w:r>
      <w:r w:rsidRPr="00FF7228">
        <w:rPr>
          <w:bCs/>
        </w:rPr>
        <w:t>Při práci použív</w:t>
      </w:r>
      <w:r w:rsidR="008200B2" w:rsidRPr="00FF7228">
        <w:rPr>
          <w:bCs/>
        </w:rPr>
        <w:t xml:space="preserve">at </w:t>
      </w:r>
      <w:r w:rsidRPr="00FF7228">
        <w:rPr>
          <w:bCs/>
        </w:rPr>
        <w:t>osobní ochranné pracovní pomůcky uvedené v odd</w:t>
      </w:r>
      <w:r w:rsidR="008200B2" w:rsidRPr="00FF7228">
        <w:rPr>
          <w:bCs/>
        </w:rPr>
        <w:t>ílu</w:t>
      </w:r>
      <w:r w:rsidRPr="00FF7228">
        <w:rPr>
          <w:bCs/>
        </w:rPr>
        <w:t xml:space="preserve"> 8.</w:t>
      </w:r>
    </w:p>
    <w:p w14:paraId="15FA0552" w14:textId="77777777" w:rsidR="001D6C63" w:rsidRPr="00FF7228" w:rsidRDefault="001D6C63" w:rsidP="001D6C63">
      <w:pPr>
        <w:pStyle w:val="Nadpis2"/>
        <w:numPr>
          <w:ilvl w:val="0"/>
          <w:numId w:val="0"/>
        </w:numPr>
        <w:tabs>
          <w:tab w:val="left" w:pos="426"/>
        </w:tabs>
        <w:jc w:val="both"/>
      </w:pPr>
      <w:r w:rsidRPr="00FF7228">
        <w:t>7.2</w:t>
      </w:r>
      <w:r w:rsidRPr="00FF7228">
        <w:tab/>
        <w:t>Podmínky pro bezpečné skladování látek a směsí včetně neslučitelných látek a směsí</w:t>
      </w:r>
    </w:p>
    <w:p w14:paraId="33AACA98" w14:textId="77777777" w:rsidR="00B42325" w:rsidRPr="00FF7228" w:rsidRDefault="00B42325" w:rsidP="00B42325">
      <w:pPr>
        <w:ind w:left="0"/>
        <w:jc w:val="both"/>
        <w:rPr>
          <w:snapToGrid w:val="0"/>
        </w:rPr>
      </w:pPr>
      <w:r w:rsidRPr="00FF7228">
        <w:rPr>
          <w:snapToGrid w:val="0"/>
        </w:rPr>
        <w:t xml:space="preserve">Neskladovat na přímém slunci a/nebo v blízkosti zdrojů tepla. Skladovat v originálních uzavřených obalech v chladných, suchých, krytých prostorách, chráněných před povětrnostními vlivy a nepřístupných pro děti. </w:t>
      </w:r>
    </w:p>
    <w:p w14:paraId="3A2AFEB6" w14:textId="77777777" w:rsidR="00B42325" w:rsidRPr="00FF7228" w:rsidRDefault="00B42325" w:rsidP="00B42325">
      <w:pPr>
        <w:ind w:left="0"/>
        <w:jc w:val="both"/>
        <w:rPr>
          <w:snapToGrid w:val="0"/>
        </w:rPr>
      </w:pPr>
      <w:r w:rsidRPr="00FF7228">
        <w:rPr>
          <w:snapToGrid w:val="0"/>
        </w:rPr>
        <w:t>Doporučená s</w:t>
      </w:r>
      <w:r w:rsidR="00A60244">
        <w:rPr>
          <w:snapToGrid w:val="0"/>
        </w:rPr>
        <w:t>kladovací teplota: + 2 °C až + 30</w:t>
      </w:r>
      <w:r w:rsidRPr="00FF7228">
        <w:rPr>
          <w:snapToGrid w:val="0"/>
        </w:rPr>
        <w:t xml:space="preserve"> °C.</w:t>
      </w:r>
    </w:p>
    <w:p w14:paraId="1E7A6FA0" w14:textId="77777777" w:rsidR="00B42325" w:rsidRPr="00FF7228" w:rsidRDefault="00B42325" w:rsidP="00B42325">
      <w:pPr>
        <w:ind w:left="0"/>
        <w:jc w:val="both"/>
        <w:rPr>
          <w:snapToGrid w:val="0"/>
        </w:rPr>
      </w:pPr>
      <w:r w:rsidRPr="00FF7228">
        <w:t xml:space="preserve">Typ materiálu použitého na balení a obaly: </w:t>
      </w:r>
      <w:proofErr w:type="spellStart"/>
      <w:r w:rsidRPr="00FF7228">
        <w:t>Polyethylén</w:t>
      </w:r>
      <w:proofErr w:type="spellEnd"/>
      <w:r w:rsidRPr="00FF7228">
        <w:t>, PET, jiné plasty, sklo apod.</w:t>
      </w:r>
    </w:p>
    <w:p w14:paraId="5A1908FE" w14:textId="77777777" w:rsidR="001D6C63" w:rsidRPr="00FF7228" w:rsidRDefault="001D6C63" w:rsidP="001D6C63">
      <w:pPr>
        <w:tabs>
          <w:tab w:val="left" w:pos="426"/>
        </w:tabs>
        <w:spacing w:before="120"/>
        <w:ind w:left="0"/>
        <w:jc w:val="both"/>
        <w:rPr>
          <w:rFonts w:ascii="Arial" w:hAnsi="Arial"/>
          <w:b/>
          <w:bCs/>
        </w:rPr>
      </w:pPr>
      <w:r w:rsidRPr="00FF7228">
        <w:rPr>
          <w:rFonts w:ascii="Arial" w:hAnsi="Arial"/>
          <w:b/>
          <w:bCs/>
        </w:rPr>
        <w:t>7.3</w:t>
      </w:r>
      <w:r w:rsidRPr="00FF7228">
        <w:rPr>
          <w:rFonts w:ascii="Arial" w:hAnsi="Arial"/>
          <w:b/>
          <w:bCs/>
        </w:rPr>
        <w:tab/>
        <w:t>Specifické konečné / specifická konečná použití</w:t>
      </w:r>
    </w:p>
    <w:p w14:paraId="0D7AD723" w14:textId="77777777" w:rsidR="00A44918" w:rsidRPr="00FF7228" w:rsidRDefault="00A44918">
      <w:pPr>
        <w:ind w:left="0"/>
        <w:jc w:val="both"/>
      </w:pPr>
      <w:r w:rsidRPr="00FF7228">
        <w:t>Specifické použití je uvedené v návodu na použití na štítku obalu výrobku nebo v dokumentaci k výrobku.</w:t>
      </w:r>
    </w:p>
    <w:p w14:paraId="3C9C0B8B" w14:textId="77777777" w:rsidR="00E44A0C" w:rsidRPr="00FF7228" w:rsidRDefault="00E44A0C">
      <w:pPr>
        <w:pStyle w:val="Nadpis1"/>
        <w:numPr>
          <w:ilvl w:val="0"/>
          <w:numId w:val="0"/>
        </w:numPr>
        <w:pBdr>
          <w:top w:val="single" w:sz="6" w:space="1" w:color="auto"/>
          <w:bottom w:val="single" w:sz="6" w:space="1" w:color="auto"/>
        </w:pBdr>
        <w:jc w:val="both"/>
      </w:pPr>
      <w:r w:rsidRPr="00FF7228">
        <w:lastRenderedPageBreak/>
        <w:t>ODDÍL 8:</w:t>
      </w:r>
      <w:r w:rsidRPr="00FF7228">
        <w:rPr>
          <w:caps w:val="0"/>
        </w:rPr>
        <w:t xml:space="preserve"> Omezování expozice / osobní ochranné prostředky </w:t>
      </w:r>
    </w:p>
    <w:p w14:paraId="4973A551" w14:textId="77777777" w:rsidR="00E44A0C" w:rsidRPr="00FF7228" w:rsidRDefault="00E44A0C">
      <w:pPr>
        <w:pStyle w:val="Nadpis2"/>
        <w:numPr>
          <w:ilvl w:val="0"/>
          <w:numId w:val="0"/>
        </w:numPr>
        <w:tabs>
          <w:tab w:val="left" w:pos="426"/>
        </w:tabs>
        <w:jc w:val="both"/>
      </w:pPr>
      <w:r w:rsidRPr="00FF7228">
        <w:t>8.1</w:t>
      </w:r>
      <w:r w:rsidRPr="00FF7228">
        <w:tab/>
        <w:t>Kontrolní parametry</w:t>
      </w:r>
    </w:p>
    <w:p w14:paraId="7499FBC0" w14:textId="77777777" w:rsidR="001D6C63" w:rsidRPr="00FF7228" w:rsidRDefault="001D6C63" w:rsidP="001D6C63">
      <w:pPr>
        <w:ind w:left="0"/>
        <w:jc w:val="both"/>
        <w:rPr>
          <w:b/>
          <w:bCs/>
        </w:rPr>
      </w:pPr>
      <w:r w:rsidRPr="00FF7228">
        <w:rPr>
          <w:b/>
          <w:bCs/>
        </w:rPr>
        <w:t xml:space="preserve">Kontrolní parametry látek </w:t>
      </w:r>
      <w:r w:rsidRPr="00FF7228">
        <w:t>nejsou stanoveny</w:t>
      </w:r>
      <w:r w:rsidRPr="00FF7228">
        <w:rPr>
          <w:b/>
          <w:bCs/>
        </w:rPr>
        <w:t xml:space="preserve"> v nařízení vlády č. 361/2007 Sb., ve znění pozdějších předpisů </w:t>
      </w:r>
    </w:p>
    <w:p w14:paraId="525BE118" w14:textId="77777777" w:rsidR="001D6C63" w:rsidRPr="00FF7228" w:rsidRDefault="001D6C63" w:rsidP="008200B2">
      <w:pPr>
        <w:ind w:left="0"/>
      </w:pPr>
      <w:r w:rsidRPr="00FF7228">
        <w:rPr>
          <w:b/>
        </w:rPr>
        <w:t xml:space="preserve">Limitní expoziční hodnoty na pracovišti podle směrnice č. </w:t>
      </w:r>
      <w:r w:rsidRPr="00FF7228">
        <w:rPr>
          <w:b/>
          <w:bCs/>
        </w:rPr>
        <w:t xml:space="preserve">2006/15/ES </w:t>
      </w:r>
      <w:r w:rsidRPr="00FF7228">
        <w:t>– nejsou uvedeny</w:t>
      </w:r>
    </w:p>
    <w:p w14:paraId="29D748BC" w14:textId="77777777" w:rsidR="001D6C63" w:rsidRPr="00FF7228" w:rsidRDefault="001D6C63" w:rsidP="001D6C63">
      <w:pPr>
        <w:ind w:left="0"/>
        <w:jc w:val="both"/>
        <w:rPr>
          <w:b/>
        </w:rPr>
      </w:pPr>
      <w:r w:rsidRPr="00FF7228">
        <w:rPr>
          <w:b/>
        </w:rPr>
        <w:t xml:space="preserve">Limitní hodnoty ukazatelů biologických expozičních testů </w:t>
      </w:r>
      <w:r w:rsidRPr="00FF7228">
        <w:rPr>
          <w:bCs/>
        </w:rPr>
        <w:t>nejsou stanoveny</w:t>
      </w:r>
      <w:r w:rsidRPr="00FF7228">
        <w:rPr>
          <w:b/>
        </w:rPr>
        <w:t xml:space="preserve"> ve vyhlášce č. 432/2003 Sb.</w:t>
      </w:r>
    </w:p>
    <w:p w14:paraId="430E272B" w14:textId="77777777" w:rsidR="001D6C63" w:rsidRPr="00FF7228" w:rsidRDefault="001D6C63" w:rsidP="00EE428B">
      <w:pPr>
        <w:ind w:left="0"/>
        <w:jc w:val="both"/>
        <w:rPr>
          <w:b/>
          <w:bCs/>
        </w:rPr>
      </w:pPr>
    </w:p>
    <w:p w14:paraId="1101726B" w14:textId="77777777" w:rsidR="00EE428B" w:rsidRPr="00FF7228" w:rsidRDefault="00EE428B" w:rsidP="00EE428B">
      <w:pPr>
        <w:pStyle w:val="Nadpis1"/>
        <w:keepLines/>
        <w:widowControl w:val="0"/>
        <w:numPr>
          <w:ilvl w:val="0"/>
          <w:numId w:val="0"/>
        </w:numPr>
        <w:spacing w:before="0" w:after="0"/>
        <w:rPr>
          <w:rFonts w:ascii="Times New Roman" w:hAnsi="Times New Roman"/>
          <w:b w:val="0"/>
          <w:caps w:val="0"/>
          <w:sz w:val="20"/>
        </w:rPr>
      </w:pPr>
      <w:r w:rsidRPr="00FF7228">
        <w:rPr>
          <w:rFonts w:ascii="Times New Roman" w:hAnsi="Times New Roman"/>
          <w:caps w:val="0"/>
          <w:sz w:val="20"/>
        </w:rPr>
        <w:t>Hodnoty DNEL a PNEC:</w:t>
      </w:r>
      <w:r w:rsidRPr="00FF7228">
        <w:rPr>
          <w:rFonts w:ascii="Times New Roman" w:hAnsi="Times New Roman"/>
          <w:i/>
          <w:iCs/>
          <w:caps w:val="0"/>
          <w:sz w:val="20"/>
        </w:rPr>
        <w:t xml:space="preserve"> </w:t>
      </w:r>
      <w:r w:rsidR="0083529F" w:rsidRPr="00FF7228">
        <w:rPr>
          <w:rFonts w:ascii="Times New Roman" w:hAnsi="Times New Roman"/>
          <w:b w:val="0"/>
          <w:iCs/>
          <w:caps w:val="0"/>
          <w:sz w:val="20"/>
        </w:rPr>
        <w:t xml:space="preserve">pro produkt </w:t>
      </w:r>
      <w:r w:rsidRPr="00FF7228">
        <w:rPr>
          <w:rFonts w:ascii="Times New Roman" w:hAnsi="Times New Roman"/>
          <w:b w:val="0"/>
          <w:caps w:val="0"/>
          <w:sz w:val="20"/>
        </w:rPr>
        <w:t>nejsou k dispozici.</w:t>
      </w:r>
    </w:p>
    <w:p w14:paraId="7F8F2585" w14:textId="77777777" w:rsidR="008200B2" w:rsidRPr="00FF7228" w:rsidRDefault="008200B2" w:rsidP="008200B2">
      <w:pPr>
        <w:overflowPunct/>
        <w:ind w:left="0"/>
        <w:textAlignment w:val="auto"/>
      </w:pPr>
      <w:r w:rsidRPr="00FF7228">
        <w:t>Alkoholy, C</w:t>
      </w:r>
      <w:r w:rsidRPr="00FF7228">
        <w:rPr>
          <w:vertAlign w:val="subscript"/>
        </w:rPr>
        <w:t>12-14</w:t>
      </w:r>
      <w:r w:rsidRPr="00FF7228">
        <w:t xml:space="preserve">, </w:t>
      </w:r>
      <w:proofErr w:type="spellStart"/>
      <w:r w:rsidRPr="00FF7228">
        <w:t>ethoxylované</w:t>
      </w:r>
      <w:proofErr w:type="spellEnd"/>
      <w:r w:rsidRPr="00FF7228">
        <w:t>, sírany, sodné soli</w:t>
      </w:r>
    </w:p>
    <w:p w14:paraId="319F576D" w14:textId="77777777" w:rsidR="0083529F" w:rsidRPr="00FF7228" w:rsidRDefault="0083529F" w:rsidP="0083529F">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DNEL</w:t>
      </w:r>
    </w:p>
    <w:p w14:paraId="48E9D108" w14:textId="77777777" w:rsidR="0083529F" w:rsidRPr="00FF7228" w:rsidRDefault="0083529F" w:rsidP="0083529F">
      <w:pPr>
        <w:overflowPunct/>
        <w:textAlignment w:val="auto"/>
      </w:pPr>
      <w:r w:rsidRPr="00FF7228">
        <w:t>pracovníci: 175 mg/m</w:t>
      </w:r>
      <w:r w:rsidRPr="00FF7228">
        <w:rPr>
          <w:vertAlign w:val="superscript"/>
        </w:rPr>
        <w:t>3</w:t>
      </w:r>
      <w:r w:rsidRPr="00FF7228">
        <w:t xml:space="preserve"> – expozice člověk, inhalační, dlouhodobá expozice, účinky systémové</w:t>
      </w:r>
    </w:p>
    <w:p w14:paraId="4D04F0FA" w14:textId="77777777" w:rsidR="0083529F" w:rsidRPr="00FF7228" w:rsidRDefault="0083529F" w:rsidP="0083529F">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pracovníci: 2 750 mg/kg váhy těla/den – expozice člověk, dermální, dlouhodobá expozice, účinky systémové</w:t>
      </w:r>
    </w:p>
    <w:p w14:paraId="519D9530" w14:textId="77777777" w:rsidR="0083529F" w:rsidRPr="00FF7228" w:rsidRDefault="0083529F" w:rsidP="0083529F">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 52 mg/m</w:t>
      </w:r>
      <w:r w:rsidRPr="00FF7228">
        <w:rPr>
          <w:rFonts w:ascii="Times New Roman" w:hAnsi="Times New Roman" w:cs="Times New Roman"/>
          <w:color w:val="auto"/>
          <w:sz w:val="20"/>
          <w:szCs w:val="20"/>
          <w:vertAlign w:val="superscript"/>
        </w:rPr>
        <w:t>3</w:t>
      </w:r>
      <w:r w:rsidRPr="00FF7228">
        <w:rPr>
          <w:rFonts w:ascii="Times New Roman" w:hAnsi="Times New Roman" w:cs="Times New Roman"/>
          <w:color w:val="auto"/>
          <w:sz w:val="20"/>
          <w:szCs w:val="20"/>
        </w:rPr>
        <w:t xml:space="preserve"> – expozice člověk, inhalační, dlouhodobá expozice, účinky systémové</w:t>
      </w:r>
    </w:p>
    <w:p w14:paraId="257141A2" w14:textId="77777777" w:rsidR="0083529F" w:rsidRPr="00FF7228" w:rsidRDefault="0083529F" w:rsidP="0083529F">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 1 650 mg/kg váhy těla/den – expozice člověk, dermální, dlouhodobá expozice, účinky systémové</w:t>
      </w:r>
    </w:p>
    <w:p w14:paraId="04EFAC9C" w14:textId="77777777" w:rsidR="0083529F" w:rsidRPr="00FF7228" w:rsidRDefault="0083529F" w:rsidP="0083529F">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 15 mg/kg váhy těla/den – expozice člověk, orální, dlouhodobá expozice, účinky systémové</w:t>
      </w:r>
    </w:p>
    <w:p w14:paraId="79BD9E75"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PNEC</w:t>
      </w:r>
    </w:p>
    <w:p w14:paraId="7A74DAC6"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sladkovodní prostředí: 0,24 mg/l</w:t>
      </w:r>
    </w:p>
    <w:p w14:paraId="6FF9C9E6"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mořská voda: 0,024 mg/l</w:t>
      </w:r>
    </w:p>
    <w:p w14:paraId="5CC37304"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mikroorganismy v čističkách odpadních vod: 10 mg/l</w:t>
      </w:r>
    </w:p>
    <w:p w14:paraId="51204109"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sladkovodní sedimenty: 5,45 mg/kg hmotnosti suchého sedimentu</w:t>
      </w:r>
    </w:p>
    <w:p w14:paraId="5D6BD547"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 xml:space="preserve">mořské sedimenty: </w:t>
      </w:r>
      <w:r w:rsidR="0083529F" w:rsidRPr="00FF7228">
        <w:rPr>
          <w:rFonts w:ascii="Times New Roman" w:hAnsi="Times New Roman" w:cs="Times New Roman"/>
          <w:color w:val="auto"/>
          <w:sz w:val="20"/>
          <w:szCs w:val="20"/>
        </w:rPr>
        <w:t>0,545</w:t>
      </w:r>
      <w:r w:rsidRPr="00FF7228">
        <w:rPr>
          <w:rFonts w:ascii="Times New Roman" w:hAnsi="Times New Roman" w:cs="Times New Roman"/>
          <w:color w:val="auto"/>
          <w:sz w:val="20"/>
          <w:szCs w:val="20"/>
        </w:rPr>
        <w:t xml:space="preserve"> mg/kg hmotnosti suchého sedimentu</w:t>
      </w:r>
    </w:p>
    <w:p w14:paraId="0CE1EAEC" w14:textId="77777777" w:rsidR="00427263" w:rsidRPr="00FF7228" w:rsidRDefault="00427263" w:rsidP="00427263">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 xml:space="preserve">půda (zemědělská) : </w:t>
      </w:r>
      <w:r w:rsidR="0083529F" w:rsidRPr="00FF7228">
        <w:rPr>
          <w:rFonts w:ascii="Times New Roman" w:hAnsi="Times New Roman" w:cs="Times New Roman"/>
          <w:color w:val="auto"/>
          <w:sz w:val="20"/>
          <w:szCs w:val="20"/>
        </w:rPr>
        <w:t>7,5</w:t>
      </w:r>
      <w:r w:rsidRPr="00FF7228">
        <w:rPr>
          <w:rFonts w:ascii="Times New Roman" w:hAnsi="Times New Roman" w:cs="Times New Roman"/>
          <w:color w:val="auto"/>
          <w:sz w:val="20"/>
          <w:szCs w:val="20"/>
        </w:rPr>
        <w:t xml:space="preserve"> mg/kg hmotnosti suché půdy</w:t>
      </w:r>
    </w:p>
    <w:p w14:paraId="51FE2950" w14:textId="77777777" w:rsidR="00427263" w:rsidRPr="00FF7228" w:rsidRDefault="00427263" w:rsidP="008200B2">
      <w:pPr>
        <w:overflowPunct/>
        <w:ind w:left="0"/>
        <w:textAlignment w:val="auto"/>
      </w:pPr>
    </w:p>
    <w:p w14:paraId="1E83CA24" w14:textId="77777777" w:rsidR="008200B2" w:rsidRPr="00FF7228" w:rsidRDefault="008200B2" w:rsidP="008200B2">
      <w:pPr>
        <w:overflowPunct/>
        <w:ind w:left="0"/>
        <w:textAlignment w:val="auto"/>
      </w:pPr>
      <w:proofErr w:type="spellStart"/>
      <w:r w:rsidRPr="00FF7228">
        <w:t>Benzensulfonová</w:t>
      </w:r>
      <w:proofErr w:type="spellEnd"/>
      <w:r w:rsidRPr="00FF7228">
        <w:t xml:space="preserve"> kyselina, C</w:t>
      </w:r>
      <w:r w:rsidRPr="00FF7228">
        <w:rPr>
          <w:vertAlign w:val="subscript"/>
        </w:rPr>
        <w:t>10-13</w:t>
      </w:r>
      <w:r w:rsidRPr="00FF7228">
        <w:t>-alkylderiváty, sodné soli</w:t>
      </w:r>
    </w:p>
    <w:p w14:paraId="40EE8605"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DNEL</w:t>
      </w:r>
    </w:p>
    <w:p w14:paraId="19983779" w14:textId="77777777" w:rsidR="00427263" w:rsidRPr="00FF7228" w:rsidRDefault="00427263" w:rsidP="00427263">
      <w:pPr>
        <w:overflowPunct/>
        <w:textAlignment w:val="auto"/>
      </w:pPr>
      <w:r w:rsidRPr="00FF7228">
        <w:t>pracovníci: 12 mg/m</w:t>
      </w:r>
      <w:r w:rsidRPr="00FF7228">
        <w:rPr>
          <w:vertAlign w:val="superscript"/>
        </w:rPr>
        <w:t>3</w:t>
      </w:r>
      <w:r w:rsidRPr="00FF7228">
        <w:t xml:space="preserve"> – expozice člověk, inhalační, dlouhodobá expozice, účinky systémové, lokální</w:t>
      </w:r>
    </w:p>
    <w:p w14:paraId="7F94E5A2"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pracovníci: 170 mg/kg váhy těla/den – expozice člověk, dermální, dlouhodobá expozice, účinky systémové</w:t>
      </w:r>
    </w:p>
    <w:p w14:paraId="0E3A7F66"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 3 mg/m</w:t>
      </w:r>
      <w:r w:rsidRPr="00FF7228">
        <w:rPr>
          <w:rFonts w:ascii="Times New Roman" w:hAnsi="Times New Roman" w:cs="Times New Roman"/>
          <w:color w:val="auto"/>
          <w:sz w:val="20"/>
          <w:szCs w:val="20"/>
          <w:vertAlign w:val="superscript"/>
        </w:rPr>
        <w:t>3</w:t>
      </w:r>
      <w:r w:rsidRPr="00FF7228">
        <w:rPr>
          <w:rFonts w:ascii="Times New Roman" w:hAnsi="Times New Roman" w:cs="Times New Roman"/>
          <w:color w:val="auto"/>
          <w:sz w:val="20"/>
          <w:szCs w:val="20"/>
        </w:rPr>
        <w:t xml:space="preserve"> – expozice člověk, inhalační, dlouhodobá expozice, účinky systémové, lokální</w:t>
      </w:r>
    </w:p>
    <w:p w14:paraId="75363628"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 85 mg/kg váhy těla/den – expozice člověk, dermální, dlouhodobá expozice, účinky systémové</w:t>
      </w:r>
    </w:p>
    <w:p w14:paraId="3BC88F06"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spotřebitelé:</w:t>
      </w:r>
      <w:r w:rsidR="0083529F" w:rsidRPr="00FF7228">
        <w:rPr>
          <w:rFonts w:ascii="Times New Roman" w:hAnsi="Times New Roman" w:cs="Times New Roman"/>
          <w:color w:val="auto"/>
          <w:sz w:val="20"/>
          <w:szCs w:val="20"/>
        </w:rPr>
        <w:t xml:space="preserve"> </w:t>
      </w:r>
      <w:r w:rsidRPr="00FF7228">
        <w:rPr>
          <w:rFonts w:ascii="Times New Roman" w:hAnsi="Times New Roman" w:cs="Times New Roman"/>
          <w:color w:val="auto"/>
          <w:sz w:val="20"/>
          <w:szCs w:val="20"/>
        </w:rPr>
        <w:t>0,85 mg/kg váhy těla/den – expozice člověk, orální, dlouhodobá expozice, účinky systémové</w:t>
      </w:r>
    </w:p>
    <w:p w14:paraId="1823A1A3" w14:textId="77777777" w:rsidR="00427263" w:rsidRPr="00FF7228" w:rsidRDefault="00427263"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PNEC</w:t>
      </w:r>
    </w:p>
    <w:p w14:paraId="29FCB67E"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sladkovodní prostředí: 0,268 mg/l</w:t>
      </w:r>
    </w:p>
    <w:p w14:paraId="5EF1D62A"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mořská voda: 0,0268 mg/l</w:t>
      </w:r>
    </w:p>
    <w:p w14:paraId="7EB1F3A7"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mikroorganismy v čističkách odpadních vod: 3,43 mg/l</w:t>
      </w:r>
    </w:p>
    <w:p w14:paraId="0BDD4B2D"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sladkovodní sedimenty: 8,1 mg/kg hmotnosti suchého sedimentu</w:t>
      </w:r>
    </w:p>
    <w:p w14:paraId="4399BA6A"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mořské sedimenty: 8,1 mg/kg hmotnosti suchého sedimentu</w:t>
      </w:r>
    </w:p>
    <w:p w14:paraId="7B914FC4" w14:textId="77777777" w:rsidR="008200B2" w:rsidRPr="00FF7228" w:rsidRDefault="008200B2" w:rsidP="008200B2">
      <w:pPr>
        <w:pStyle w:val="Default"/>
        <w:ind w:left="284"/>
        <w:contextualSpacing/>
        <w:rPr>
          <w:rFonts w:ascii="Times New Roman" w:hAnsi="Times New Roman" w:cs="Times New Roman"/>
          <w:color w:val="auto"/>
          <w:sz w:val="20"/>
          <w:szCs w:val="20"/>
        </w:rPr>
      </w:pPr>
      <w:r w:rsidRPr="00FF7228">
        <w:rPr>
          <w:rFonts w:ascii="Times New Roman" w:hAnsi="Times New Roman" w:cs="Times New Roman"/>
          <w:color w:val="auto"/>
          <w:sz w:val="20"/>
          <w:szCs w:val="20"/>
        </w:rPr>
        <w:t>půda (zemědělská) : 35 mg/kg hmotnosti suché půdy</w:t>
      </w:r>
    </w:p>
    <w:p w14:paraId="10AE1B8D" w14:textId="77777777" w:rsidR="008200B2" w:rsidRPr="00FF7228" w:rsidRDefault="008200B2" w:rsidP="008200B2">
      <w:pPr>
        <w:overflowPunct/>
        <w:ind w:left="0"/>
        <w:textAlignment w:val="auto"/>
      </w:pPr>
    </w:p>
    <w:p w14:paraId="0263A1C1" w14:textId="77777777" w:rsidR="00E44A0C" w:rsidRPr="00FF7228" w:rsidRDefault="00E44A0C">
      <w:pPr>
        <w:ind w:left="0"/>
        <w:jc w:val="both"/>
        <w:rPr>
          <w:rFonts w:ascii="Arial" w:hAnsi="Arial"/>
          <w:b/>
          <w:bCs/>
        </w:rPr>
      </w:pPr>
      <w:proofErr w:type="gramStart"/>
      <w:r w:rsidRPr="00FF7228">
        <w:rPr>
          <w:rFonts w:ascii="Arial" w:hAnsi="Arial"/>
          <w:b/>
          <w:bCs/>
        </w:rPr>
        <w:t>8.2  Omezování</w:t>
      </w:r>
      <w:proofErr w:type="gramEnd"/>
      <w:r w:rsidRPr="00FF7228">
        <w:rPr>
          <w:rFonts w:ascii="Arial" w:hAnsi="Arial"/>
          <w:b/>
          <w:bCs/>
        </w:rPr>
        <w:t xml:space="preserve"> expozice</w:t>
      </w:r>
    </w:p>
    <w:p w14:paraId="43411F10" w14:textId="77777777" w:rsidR="00E44A0C" w:rsidRPr="00FF7228" w:rsidRDefault="00E44A0C">
      <w:pPr>
        <w:tabs>
          <w:tab w:val="left" w:pos="567"/>
        </w:tabs>
        <w:ind w:left="0"/>
        <w:jc w:val="both"/>
        <w:rPr>
          <w:b/>
          <w:bCs/>
        </w:rPr>
      </w:pPr>
      <w:r w:rsidRPr="00FF7228">
        <w:rPr>
          <w:b/>
          <w:bCs/>
        </w:rPr>
        <w:t>8.2.1</w:t>
      </w:r>
      <w:r w:rsidRPr="00FF7228">
        <w:rPr>
          <w:b/>
          <w:bCs/>
        </w:rPr>
        <w:tab/>
        <w:t>Vhodné technické kontroly</w:t>
      </w:r>
    </w:p>
    <w:p w14:paraId="34517A43" w14:textId="77777777" w:rsidR="001D6C63" w:rsidRPr="00FF7228" w:rsidRDefault="001D6C63" w:rsidP="001D6C63">
      <w:pPr>
        <w:pStyle w:val="Nadpis2"/>
        <w:numPr>
          <w:ilvl w:val="0"/>
          <w:numId w:val="0"/>
        </w:numPr>
        <w:spacing w:before="0"/>
        <w:jc w:val="both"/>
        <w:rPr>
          <w:rFonts w:ascii="Times New Roman" w:hAnsi="Times New Roman"/>
          <w:b w:val="0"/>
        </w:rPr>
      </w:pPr>
      <w:r w:rsidRPr="00FF7228">
        <w:rPr>
          <w:rFonts w:ascii="Times New Roman" w:hAnsi="Times New Roman"/>
          <w:b w:val="0"/>
          <w:bCs/>
        </w:rPr>
        <w:t xml:space="preserve">Zajistit dostatečné větrání. Zajistit, aby s produktem pracovaly osoby používající osobní ochranné pomůcky. </w:t>
      </w:r>
      <w:r w:rsidR="00B42325" w:rsidRPr="00FF7228">
        <w:rPr>
          <w:rFonts w:ascii="Times New Roman" w:hAnsi="Times New Roman"/>
          <w:b w:val="0"/>
          <w:bCs/>
        </w:rPr>
        <w:t>Po skončení práce si důkladně umýt ruce a obličej vodou a mýdlem. Při práci nejíst, nepít, nekouřit.</w:t>
      </w:r>
      <w:r w:rsidR="001C6D03" w:rsidRPr="00FF7228">
        <w:rPr>
          <w:rFonts w:ascii="Times New Roman" w:hAnsi="Times New Roman"/>
          <w:b w:val="0"/>
          <w:bCs/>
        </w:rPr>
        <w:t xml:space="preserve"> Uchovávat odděleně od potravin, nápojů a krmiv. </w:t>
      </w:r>
      <w:r w:rsidRPr="00FF7228">
        <w:rPr>
          <w:rFonts w:ascii="Times New Roman" w:hAnsi="Times New Roman"/>
          <w:b w:val="0"/>
        </w:rPr>
        <w:t>Na pracovišti zajistit zařízení pro výplach očí (oční sprcha).</w:t>
      </w:r>
      <w:r w:rsidR="00B42325" w:rsidRPr="00FF7228">
        <w:rPr>
          <w:bCs/>
        </w:rPr>
        <w:t xml:space="preserve"> </w:t>
      </w:r>
    </w:p>
    <w:p w14:paraId="34CC37D4" w14:textId="77777777" w:rsidR="00E44A0C" w:rsidRDefault="00E44A0C">
      <w:pPr>
        <w:ind w:left="0"/>
        <w:jc w:val="both"/>
        <w:rPr>
          <w:bCs/>
          <w:iCs/>
        </w:rPr>
      </w:pPr>
      <w:r w:rsidRPr="00FF7228">
        <w:t xml:space="preserve">V ČR: Monitorovací postup obsahu látek v ovzduší pracovišť a specifikaci ochranných pomůcek stanoví pracovník zodpovědný za bezpečnost práce a ochranu zdraví pracovníků. </w:t>
      </w:r>
      <w:r w:rsidRPr="00FF7228">
        <w:rPr>
          <w:bCs/>
          <w:iCs/>
        </w:rPr>
        <w:t>Právnické a fyzické osoby podnikající mají povinnost měřením zjišťovat a kontrolovat hodnoty koncentrací látek v ovzduší pracovišť a zařazovat pracoviště dle kategorizace prací.</w:t>
      </w:r>
    </w:p>
    <w:p w14:paraId="1986918A" w14:textId="77777777" w:rsidR="005C4CD5" w:rsidRPr="00FF7228" w:rsidRDefault="005C4CD5">
      <w:pPr>
        <w:ind w:left="0"/>
        <w:jc w:val="both"/>
      </w:pPr>
    </w:p>
    <w:p w14:paraId="5A8A2696" w14:textId="77777777" w:rsidR="00E44A0C" w:rsidRPr="00FF7228" w:rsidRDefault="005C4CD5">
      <w:pPr>
        <w:tabs>
          <w:tab w:val="left" w:pos="567"/>
        </w:tabs>
        <w:spacing w:before="120"/>
        <w:ind w:left="0"/>
        <w:jc w:val="both"/>
        <w:rPr>
          <w:rFonts w:cs="EUAlbertina"/>
          <w:b/>
          <w:iCs/>
        </w:rPr>
      </w:pPr>
      <w:r>
        <w:rPr>
          <w:rFonts w:cs="EUAlbertina"/>
          <w:b/>
          <w:iCs/>
        </w:rPr>
        <w:br w:type="page"/>
      </w:r>
      <w:r w:rsidR="00E44A0C" w:rsidRPr="00FF7228">
        <w:rPr>
          <w:rFonts w:cs="EUAlbertina"/>
          <w:b/>
          <w:iCs/>
        </w:rPr>
        <w:lastRenderedPageBreak/>
        <w:t>8.2.2</w:t>
      </w:r>
      <w:r w:rsidR="00E44A0C" w:rsidRPr="00FF7228">
        <w:rPr>
          <w:rFonts w:cs="EUAlbertina"/>
          <w:b/>
          <w:iCs/>
        </w:rPr>
        <w:tab/>
        <w:t xml:space="preserve">Individuální ochranná opatření včetně osobních ochranných prostředků </w:t>
      </w:r>
    </w:p>
    <w:p w14:paraId="00F71EF7" w14:textId="77777777" w:rsidR="00E44A0C" w:rsidRPr="00FF7228" w:rsidRDefault="00E44A0C">
      <w:pPr>
        <w:ind w:left="0"/>
        <w:jc w:val="both"/>
      </w:pPr>
      <w:r w:rsidRPr="00FF7228">
        <w:rPr>
          <w:szCs w:val="19"/>
        </w:rPr>
        <w:t>Nařízení vlády č. 495/2001 Sb. zavádí směrnici ES č. 89/656/EHS</w:t>
      </w:r>
      <w:r w:rsidR="00F20A34" w:rsidRPr="00FF7228">
        <w:rPr>
          <w:szCs w:val="19"/>
        </w:rPr>
        <w:t xml:space="preserve">, </w:t>
      </w:r>
      <w:r w:rsidRPr="00FF7228">
        <w:rPr>
          <w:szCs w:val="19"/>
        </w:rPr>
        <w:t>nařízení vlády č. 21/2003 Sb. zavádí směrnici ES č. 89/686/EHS, proto veškeré používané osobní ochranné pomůcky musí být v souladu s</w:t>
      </w:r>
      <w:r w:rsidR="00F20A34" w:rsidRPr="00FF7228">
        <w:rPr>
          <w:szCs w:val="19"/>
        </w:rPr>
        <w:t> </w:t>
      </w:r>
      <w:r w:rsidRPr="00FF7228">
        <w:rPr>
          <w:szCs w:val="19"/>
        </w:rPr>
        <w:t>t</w:t>
      </w:r>
      <w:r w:rsidR="00F20A34" w:rsidRPr="00FF7228">
        <w:rPr>
          <w:szCs w:val="19"/>
        </w:rPr>
        <w:t xml:space="preserve">ěmito </w:t>
      </w:r>
      <w:r w:rsidRPr="00FF7228">
        <w:rPr>
          <w:szCs w:val="19"/>
        </w:rPr>
        <w:t>nařízením</w:t>
      </w:r>
      <w:r w:rsidR="00F20A34" w:rsidRPr="00FF7228">
        <w:rPr>
          <w:szCs w:val="19"/>
        </w:rPr>
        <w:t>i</w:t>
      </w:r>
      <w:r w:rsidRPr="00FF7228">
        <w:rPr>
          <w:szCs w:val="19"/>
        </w:rP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1D6C63" w:rsidRPr="00FF7228" w14:paraId="217841A4" w14:textId="77777777">
        <w:tc>
          <w:tcPr>
            <w:tcW w:w="2268" w:type="dxa"/>
          </w:tcPr>
          <w:p w14:paraId="236B8E5F" w14:textId="77777777" w:rsidR="001D6C63" w:rsidRPr="00FF7228" w:rsidRDefault="001D6C63">
            <w:pPr>
              <w:pStyle w:val="Normaltab0"/>
              <w:jc w:val="both"/>
              <w:rPr>
                <w:b/>
                <w:bCs/>
              </w:rPr>
            </w:pPr>
            <w:r w:rsidRPr="00FF7228">
              <w:rPr>
                <w:b/>
                <w:bCs/>
              </w:rPr>
              <w:t>Ochrana očí a obličeje:</w:t>
            </w:r>
          </w:p>
        </w:tc>
        <w:tc>
          <w:tcPr>
            <w:tcW w:w="6804" w:type="dxa"/>
          </w:tcPr>
          <w:p w14:paraId="7041A588" w14:textId="77777777" w:rsidR="001D6C63" w:rsidRPr="00FF7228" w:rsidRDefault="005C4CD5" w:rsidP="005C4CD5">
            <w:pPr>
              <w:pStyle w:val="Normaltab0"/>
              <w:jc w:val="both"/>
            </w:pPr>
            <w:r>
              <w:t xml:space="preserve">V případě rizika vniknutí do očí nosit </w:t>
            </w:r>
            <w:r w:rsidR="001C6D03" w:rsidRPr="00FF7228">
              <w:t>o</w:t>
            </w:r>
            <w:r w:rsidR="001D6C63" w:rsidRPr="00FF7228">
              <w:t>chranné brýle (EN 166)</w:t>
            </w:r>
            <w:r w:rsidR="001C6D03" w:rsidRPr="00FF7228">
              <w:t>.</w:t>
            </w:r>
          </w:p>
        </w:tc>
      </w:tr>
      <w:tr w:rsidR="001D6C63" w:rsidRPr="00FF7228" w14:paraId="757B3ADA" w14:textId="77777777">
        <w:tc>
          <w:tcPr>
            <w:tcW w:w="2268" w:type="dxa"/>
          </w:tcPr>
          <w:p w14:paraId="1D7AE9C0" w14:textId="77777777" w:rsidR="001D6C63" w:rsidRPr="00FF7228" w:rsidRDefault="001D6C63">
            <w:pPr>
              <w:pStyle w:val="Normaltab0"/>
              <w:jc w:val="both"/>
              <w:rPr>
                <w:b/>
                <w:bCs/>
              </w:rPr>
            </w:pPr>
            <w:r w:rsidRPr="00FF7228">
              <w:rPr>
                <w:b/>
                <w:bCs/>
              </w:rPr>
              <w:t>Ochrana kůže:</w:t>
            </w:r>
          </w:p>
        </w:tc>
        <w:tc>
          <w:tcPr>
            <w:tcW w:w="6804" w:type="dxa"/>
          </w:tcPr>
          <w:p w14:paraId="0F6634EF" w14:textId="77777777" w:rsidR="001D6C63" w:rsidRPr="00FF7228" w:rsidRDefault="001D6C63" w:rsidP="0035325C">
            <w:pPr>
              <w:pStyle w:val="Normaltab0"/>
              <w:jc w:val="both"/>
              <w:rPr>
                <w:b/>
              </w:rPr>
            </w:pPr>
            <w:r w:rsidRPr="00FF7228">
              <w:rPr>
                <w:b/>
              </w:rPr>
              <w:t>Ochrana rukou:</w:t>
            </w:r>
          </w:p>
          <w:p w14:paraId="5F09618E" w14:textId="77777777" w:rsidR="001C6D03" w:rsidRPr="00FF7228" w:rsidRDefault="001C6D03" w:rsidP="0035325C">
            <w:pPr>
              <w:pStyle w:val="Normaltab0"/>
              <w:jc w:val="both"/>
            </w:pPr>
            <w:r w:rsidRPr="00FF7228">
              <w:rPr>
                <w:bCs/>
                <w:snapToGrid w:val="0"/>
              </w:rPr>
              <w:t xml:space="preserve">Při běžné manipulaci není potřebná. </w:t>
            </w:r>
            <w:r w:rsidRPr="00FF7228">
              <w:rPr>
                <w:snapToGrid w:val="0"/>
              </w:rPr>
              <w:t xml:space="preserve">Při dlouhodobé opakované manipulaci s nezabaleným produktem </w:t>
            </w:r>
            <w:r w:rsidRPr="00FF7228">
              <w:t xml:space="preserve">používat gumové </w:t>
            </w:r>
            <w:r w:rsidRPr="00FF7228">
              <w:rPr>
                <w:bCs/>
                <w:snapToGrid w:val="0"/>
              </w:rPr>
              <w:t xml:space="preserve">pracovní rukavice (EN 374). Po ukončení práce </w:t>
            </w:r>
            <w:r w:rsidR="005C4CD5">
              <w:rPr>
                <w:bCs/>
                <w:snapToGrid w:val="0"/>
              </w:rPr>
              <w:t xml:space="preserve">s produktem </w:t>
            </w:r>
            <w:r w:rsidR="006210C9">
              <w:rPr>
                <w:bCs/>
                <w:snapToGrid w:val="0"/>
              </w:rPr>
              <w:t xml:space="preserve">ošetřit ruce </w:t>
            </w:r>
            <w:r w:rsidRPr="00FF7228">
              <w:rPr>
                <w:bCs/>
                <w:snapToGrid w:val="0"/>
              </w:rPr>
              <w:t>vhodný</w:t>
            </w:r>
            <w:r w:rsidR="006210C9">
              <w:rPr>
                <w:bCs/>
                <w:snapToGrid w:val="0"/>
              </w:rPr>
              <w:t>m</w:t>
            </w:r>
            <w:r w:rsidRPr="00FF7228">
              <w:rPr>
                <w:bCs/>
                <w:snapToGrid w:val="0"/>
              </w:rPr>
              <w:t xml:space="preserve"> regenerační</w:t>
            </w:r>
            <w:r w:rsidR="006210C9">
              <w:rPr>
                <w:bCs/>
                <w:snapToGrid w:val="0"/>
              </w:rPr>
              <w:t>m</w:t>
            </w:r>
            <w:r w:rsidRPr="00FF7228">
              <w:rPr>
                <w:bCs/>
                <w:snapToGrid w:val="0"/>
              </w:rPr>
              <w:t xml:space="preserve"> krém</w:t>
            </w:r>
            <w:r w:rsidR="006210C9">
              <w:rPr>
                <w:bCs/>
                <w:snapToGrid w:val="0"/>
              </w:rPr>
              <w:t>em</w:t>
            </w:r>
            <w:r w:rsidRPr="00FF7228">
              <w:rPr>
                <w:bCs/>
                <w:snapToGrid w:val="0"/>
              </w:rPr>
              <w:t xml:space="preserve">. </w:t>
            </w:r>
            <w:r w:rsidRPr="00FF7228">
              <w:t xml:space="preserve"> </w:t>
            </w:r>
          </w:p>
          <w:p w14:paraId="05F06F4A" w14:textId="77777777" w:rsidR="001D6C63" w:rsidRPr="00FF7228" w:rsidRDefault="001D6C63" w:rsidP="0035325C">
            <w:pPr>
              <w:overflowPunct/>
              <w:ind w:left="0"/>
              <w:jc w:val="both"/>
              <w:textAlignment w:val="auto"/>
              <w:rPr>
                <w:b/>
              </w:rPr>
            </w:pPr>
            <w:r w:rsidRPr="00FF7228">
              <w:rPr>
                <w:b/>
              </w:rPr>
              <w:t>Jiná ochrana:</w:t>
            </w:r>
          </w:p>
          <w:p w14:paraId="73EA102B" w14:textId="77777777" w:rsidR="001D6C63" w:rsidRPr="00FF7228" w:rsidRDefault="001C6D03" w:rsidP="0035325C">
            <w:pPr>
              <w:overflowPunct/>
              <w:ind w:left="0"/>
              <w:jc w:val="both"/>
              <w:textAlignment w:val="auto"/>
            </w:pPr>
            <w:r w:rsidRPr="00FF7228">
              <w:rPr>
                <w:snapToGrid w:val="0"/>
              </w:rPr>
              <w:t>Při běžné manipulaci není potřebná.</w:t>
            </w:r>
          </w:p>
        </w:tc>
      </w:tr>
      <w:tr w:rsidR="001D6C63" w:rsidRPr="00FF7228" w14:paraId="3BC1ED84" w14:textId="77777777">
        <w:tc>
          <w:tcPr>
            <w:tcW w:w="2268" w:type="dxa"/>
          </w:tcPr>
          <w:p w14:paraId="138DB981" w14:textId="77777777" w:rsidR="001D6C63" w:rsidRPr="00FF7228" w:rsidRDefault="001D6C63">
            <w:pPr>
              <w:pStyle w:val="Normaltab0"/>
              <w:jc w:val="both"/>
              <w:rPr>
                <w:b/>
                <w:bCs/>
              </w:rPr>
            </w:pPr>
            <w:r w:rsidRPr="00FF7228">
              <w:rPr>
                <w:b/>
                <w:bCs/>
              </w:rPr>
              <w:t>Ochrana dýchacích cest:</w:t>
            </w:r>
          </w:p>
        </w:tc>
        <w:tc>
          <w:tcPr>
            <w:tcW w:w="6804" w:type="dxa"/>
          </w:tcPr>
          <w:p w14:paraId="3F124A87" w14:textId="77777777" w:rsidR="001D6C63" w:rsidRPr="00FF7228" w:rsidRDefault="001C6D03" w:rsidP="0035325C">
            <w:pPr>
              <w:pStyle w:val="Normaltab0"/>
              <w:jc w:val="both"/>
            </w:pPr>
            <w:r w:rsidRPr="00FF7228">
              <w:rPr>
                <w:snapToGrid w:val="0"/>
              </w:rPr>
              <w:t>Při běžné manipulaci není potřebná.</w:t>
            </w:r>
          </w:p>
        </w:tc>
      </w:tr>
      <w:tr w:rsidR="00E44A0C" w:rsidRPr="00FF7228" w14:paraId="01DA74AC" w14:textId="77777777">
        <w:tc>
          <w:tcPr>
            <w:tcW w:w="2268" w:type="dxa"/>
          </w:tcPr>
          <w:p w14:paraId="19C1BDF1" w14:textId="77777777" w:rsidR="00E44A0C" w:rsidRPr="00FF7228" w:rsidRDefault="00E44A0C">
            <w:pPr>
              <w:pStyle w:val="Normaltab0"/>
              <w:jc w:val="both"/>
              <w:rPr>
                <w:b/>
                <w:bCs/>
              </w:rPr>
            </w:pPr>
            <w:r w:rsidRPr="00FF7228">
              <w:rPr>
                <w:b/>
                <w:bCs/>
              </w:rPr>
              <w:t>Tepelné nebezpečí:</w:t>
            </w:r>
          </w:p>
        </w:tc>
        <w:tc>
          <w:tcPr>
            <w:tcW w:w="6804" w:type="dxa"/>
          </w:tcPr>
          <w:p w14:paraId="38A089FD" w14:textId="77777777" w:rsidR="00E44A0C" w:rsidRPr="00FF7228" w:rsidRDefault="00E44A0C">
            <w:pPr>
              <w:pStyle w:val="Normaltab0"/>
              <w:jc w:val="both"/>
            </w:pPr>
            <w:r w:rsidRPr="00FF7228">
              <w:t>Není.</w:t>
            </w:r>
          </w:p>
        </w:tc>
      </w:tr>
    </w:tbl>
    <w:p w14:paraId="34BAA215" w14:textId="77777777" w:rsidR="00E44A0C" w:rsidRPr="00FF7228" w:rsidRDefault="00E44A0C">
      <w:pPr>
        <w:pStyle w:val="Nadpis2"/>
        <w:numPr>
          <w:ilvl w:val="0"/>
          <w:numId w:val="0"/>
        </w:numPr>
        <w:tabs>
          <w:tab w:val="left" w:pos="567"/>
        </w:tabs>
        <w:jc w:val="both"/>
        <w:rPr>
          <w:rFonts w:ascii="Times New Roman" w:hAnsi="Times New Roman"/>
        </w:rPr>
      </w:pPr>
      <w:r w:rsidRPr="00FF7228">
        <w:rPr>
          <w:rFonts w:ascii="Times New Roman" w:hAnsi="Times New Roman"/>
        </w:rPr>
        <w:t>8.2.3</w:t>
      </w:r>
      <w:r w:rsidRPr="00FF7228">
        <w:rPr>
          <w:rFonts w:ascii="Times New Roman" w:hAnsi="Times New Roman"/>
        </w:rPr>
        <w:tab/>
        <w:t>Omezování expozice životního prostředí</w:t>
      </w:r>
    </w:p>
    <w:p w14:paraId="76E8D0ED" w14:textId="77777777" w:rsidR="00E44A0C" w:rsidRPr="00FF7228" w:rsidRDefault="00E44A0C" w:rsidP="001C6D03">
      <w:pPr>
        <w:widowControl w:val="0"/>
        <w:tabs>
          <w:tab w:val="left" w:pos="0"/>
          <w:tab w:val="left" w:pos="2093"/>
        </w:tabs>
        <w:ind w:left="0"/>
        <w:jc w:val="both"/>
        <w:rPr>
          <w:bCs/>
          <w:szCs w:val="24"/>
        </w:rPr>
      </w:pPr>
      <w:r w:rsidRPr="00FF7228">
        <w:rPr>
          <w:bCs/>
          <w:szCs w:val="24"/>
        </w:rPr>
        <w:t xml:space="preserve">Viz zákon č. </w:t>
      </w:r>
      <w:r w:rsidR="00995065" w:rsidRPr="00FF7228">
        <w:rPr>
          <w:bCs/>
          <w:szCs w:val="24"/>
        </w:rPr>
        <w:t>201/2012</w:t>
      </w:r>
      <w:r w:rsidRPr="00FF7228">
        <w:rPr>
          <w:bCs/>
          <w:szCs w:val="24"/>
        </w:rPr>
        <w:t xml:space="preserve"> Sb. o ochraně ovzduší;</w:t>
      </w:r>
      <w:r w:rsidR="00BD5E61" w:rsidRPr="00FF7228">
        <w:rPr>
          <w:bCs/>
          <w:szCs w:val="24"/>
        </w:rPr>
        <w:t xml:space="preserve"> v</w:t>
      </w:r>
      <w:r w:rsidR="00F20A34" w:rsidRPr="00FF7228">
        <w:rPr>
          <w:bCs/>
          <w:szCs w:val="24"/>
        </w:rPr>
        <w:t xml:space="preserve">iz </w:t>
      </w:r>
      <w:r w:rsidRPr="00FF7228">
        <w:rPr>
          <w:bCs/>
          <w:szCs w:val="24"/>
        </w:rPr>
        <w:t>zákon č. 254/2001 Sb. o vodách</w:t>
      </w:r>
      <w:r w:rsidR="00F20A34" w:rsidRPr="00FF7228">
        <w:rPr>
          <w:bCs/>
          <w:szCs w:val="24"/>
        </w:rPr>
        <w:t>, ve znění pozdějších předpisů</w:t>
      </w:r>
      <w:r w:rsidRPr="00FF7228">
        <w:rPr>
          <w:bCs/>
          <w:szCs w:val="24"/>
        </w:rPr>
        <w:t>.</w:t>
      </w:r>
      <w:r w:rsidR="001C6D03" w:rsidRPr="00FF7228">
        <w:rPr>
          <w:bCs/>
          <w:szCs w:val="24"/>
        </w:rPr>
        <w:t xml:space="preserve"> </w:t>
      </w:r>
      <w:r w:rsidR="001C6D03" w:rsidRPr="00FF7228">
        <w:rPr>
          <w:snapToGrid w:val="0"/>
        </w:rPr>
        <w:t>Zabránit průniku do kanalizace, půdy, povrchových a podzemních vod, půdního podloží.</w:t>
      </w:r>
    </w:p>
    <w:p w14:paraId="5CA40803"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9: </w:t>
      </w:r>
      <w:r w:rsidRPr="00FF7228">
        <w:rPr>
          <w:caps w:val="0"/>
        </w:rPr>
        <w:t xml:space="preserve">Fyzikální a chemické vlastnosti  </w:t>
      </w:r>
    </w:p>
    <w:p w14:paraId="1BD434EE" w14:textId="77777777" w:rsidR="00E44A0C" w:rsidRPr="00FF7228" w:rsidRDefault="00E44A0C">
      <w:pPr>
        <w:tabs>
          <w:tab w:val="left" w:pos="426"/>
        </w:tabs>
        <w:spacing w:before="120"/>
        <w:ind w:left="0"/>
        <w:rPr>
          <w:rFonts w:ascii="Arial" w:hAnsi="Arial" w:cs="Arial"/>
          <w:b/>
          <w:bCs/>
        </w:rPr>
      </w:pPr>
      <w:r w:rsidRPr="00FF7228">
        <w:rPr>
          <w:rFonts w:ascii="Arial" w:hAnsi="Arial" w:cs="Arial"/>
          <w:b/>
          <w:bCs/>
        </w:rPr>
        <w:t>9.1</w:t>
      </w:r>
      <w:r w:rsidRPr="00FF7228">
        <w:rPr>
          <w:rFonts w:ascii="Arial" w:hAnsi="Arial" w:cs="Arial"/>
          <w:b/>
          <w:bCs/>
        </w:rPr>
        <w:tab/>
        <w:t xml:space="preserve">Informace o základních fyzikálních a chemických vlastnostech </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80"/>
        <w:gridCol w:w="5492"/>
      </w:tblGrid>
      <w:tr w:rsidR="001D6C63" w:rsidRPr="00FF7228" w14:paraId="72D6343F" w14:textId="77777777" w:rsidTr="001D6C63">
        <w:tc>
          <w:tcPr>
            <w:tcW w:w="3580" w:type="dxa"/>
          </w:tcPr>
          <w:p w14:paraId="36FF6022" w14:textId="77777777" w:rsidR="001D6C63" w:rsidRPr="00FF7228" w:rsidRDefault="001D6C63">
            <w:pPr>
              <w:pStyle w:val="Normaltab0"/>
            </w:pPr>
            <w:r w:rsidRPr="00FF7228">
              <w:t>Vzhled:</w:t>
            </w:r>
          </w:p>
        </w:tc>
        <w:tc>
          <w:tcPr>
            <w:tcW w:w="5492" w:type="dxa"/>
          </w:tcPr>
          <w:p w14:paraId="7E17D1BD" w14:textId="77777777" w:rsidR="001D6C63" w:rsidRPr="00FF7228" w:rsidRDefault="00F014A0" w:rsidP="0035325C">
            <w:pPr>
              <w:pStyle w:val="Normaltab0"/>
            </w:pPr>
            <w:r>
              <w:t>Žlutá</w:t>
            </w:r>
            <w:r w:rsidR="001C6D03" w:rsidRPr="00FF7228">
              <w:t xml:space="preserve"> kapalina </w:t>
            </w:r>
          </w:p>
        </w:tc>
      </w:tr>
      <w:tr w:rsidR="001D6C63" w:rsidRPr="00FF7228" w14:paraId="7636735B" w14:textId="77777777" w:rsidTr="001D6C63">
        <w:tc>
          <w:tcPr>
            <w:tcW w:w="3580" w:type="dxa"/>
          </w:tcPr>
          <w:p w14:paraId="1E9F4701" w14:textId="77777777" w:rsidR="001D6C63" w:rsidRPr="00FF7228" w:rsidRDefault="001D6C63">
            <w:pPr>
              <w:pStyle w:val="Normaltab0"/>
            </w:pPr>
            <w:r w:rsidRPr="00FF7228">
              <w:t>Zápach:</w:t>
            </w:r>
          </w:p>
        </w:tc>
        <w:tc>
          <w:tcPr>
            <w:tcW w:w="5492" w:type="dxa"/>
          </w:tcPr>
          <w:p w14:paraId="5F73BD6A" w14:textId="77777777" w:rsidR="001D6C63" w:rsidRPr="00FF7228" w:rsidRDefault="001C6D03" w:rsidP="0035325C">
            <w:pPr>
              <w:pStyle w:val="Normaltab0"/>
            </w:pPr>
            <w:r w:rsidRPr="00FF7228">
              <w:t xml:space="preserve">Parfémovaný </w:t>
            </w:r>
          </w:p>
        </w:tc>
      </w:tr>
      <w:tr w:rsidR="001D6C63" w:rsidRPr="00FF7228" w14:paraId="41873420" w14:textId="77777777" w:rsidTr="001D6C63">
        <w:tc>
          <w:tcPr>
            <w:tcW w:w="3580" w:type="dxa"/>
          </w:tcPr>
          <w:p w14:paraId="21F460D2" w14:textId="77777777" w:rsidR="001D6C63" w:rsidRPr="00FF7228" w:rsidRDefault="001D6C63">
            <w:pPr>
              <w:pStyle w:val="Normaltab0"/>
            </w:pPr>
            <w:r w:rsidRPr="00FF7228">
              <w:t>Prahová hodnota zápachu:</w:t>
            </w:r>
          </w:p>
        </w:tc>
        <w:tc>
          <w:tcPr>
            <w:tcW w:w="5492" w:type="dxa"/>
          </w:tcPr>
          <w:p w14:paraId="37332E62" w14:textId="77777777" w:rsidR="001D6C63" w:rsidRPr="00FF7228" w:rsidRDefault="001C6D03" w:rsidP="0035325C">
            <w:pPr>
              <w:pStyle w:val="Normaltab0"/>
            </w:pPr>
            <w:r w:rsidRPr="00FF7228">
              <w:t xml:space="preserve">Nestanoveno </w:t>
            </w:r>
          </w:p>
        </w:tc>
      </w:tr>
      <w:tr w:rsidR="001D6C63" w:rsidRPr="00FF7228" w14:paraId="6B817256" w14:textId="77777777" w:rsidTr="001D6C63">
        <w:tc>
          <w:tcPr>
            <w:tcW w:w="3580" w:type="dxa"/>
          </w:tcPr>
          <w:p w14:paraId="7AE7973F" w14:textId="77777777" w:rsidR="001D6C63" w:rsidRPr="00FF7228" w:rsidRDefault="001D6C63">
            <w:pPr>
              <w:pStyle w:val="Normaltab0"/>
            </w:pPr>
            <w:r w:rsidRPr="00FF7228">
              <w:t>pH:</w:t>
            </w:r>
          </w:p>
        </w:tc>
        <w:tc>
          <w:tcPr>
            <w:tcW w:w="5492" w:type="dxa"/>
          </w:tcPr>
          <w:p w14:paraId="21A2541C" w14:textId="77777777" w:rsidR="001D6C63" w:rsidRPr="00FF7228" w:rsidRDefault="001C6D03" w:rsidP="0035325C">
            <w:pPr>
              <w:pStyle w:val="Normaltab0"/>
            </w:pPr>
            <w:r w:rsidRPr="00FF7228">
              <w:t>6 – 8 (</w:t>
            </w:r>
            <w:r w:rsidRPr="00FF7228">
              <w:rPr>
                <w:iCs/>
                <w:snapToGrid w:val="0"/>
              </w:rPr>
              <w:t>při 20 °C, 1 % vodný roztok)</w:t>
            </w:r>
          </w:p>
        </w:tc>
      </w:tr>
      <w:tr w:rsidR="001D6C63" w:rsidRPr="00FF7228" w14:paraId="64AA131A" w14:textId="77777777" w:rsidTr="001D6C63">
        <w:tc>
          <w:tcPr>
            <w:tcW w:w="3580" w:type="dxa"/>
          </w:tcPr>
          <w:p w14:paraId="600C47F9" w14:textId="77777777" w:rsidR="001D6C63" w:rsidRPr="00FF7228" w:rsidRDefault="001D6C63">
            <w:pPr>
              <w:pStyle w:val="Normaltab0"/>
            </w:pPr>
            <w:r w:rsidRPr="00FF7228">
              <w:t>Bod tání / bod tuhnutí:</w:t>
            </w:r>
          </w:p>
        </w:tc>
        <w:tc>
          <w:tcPr>
            <w:tcW w:w="5492" w:type="dxa"/>
          </w:tcPr>
          <w:p w14:paraId="523209AD" w14:textId="77777777" w:rsidR="001D6C63" w:rsidRPr="00FF7228" w:rsidRDefault="001C6D03" w:rsidP="0035325C">
            <w:pPr>
              <w:pStyle w:val="Normaltab0"/>
            </w:pPr>
            <w:r w:rsidRPr="00FF7228">
              <w:rPr>
                <w:snapToGrid w:val="0"/>
              </w:rPr>
              <w:t>&lt; 0</w:t>
            </w:r>
            <w:r w:rsidR="009B7E6D" w:rsidRPr="00FF7228">
              <w:rPr>
                <w:snapToGrid w:val="0"/>
              </w:rPr>
              <w:t xml:space="preserve"> </w:t>
            </w:r>
            <w:r w:rsidR="009B7E6D" w:rsidRPr="00FF7228">
              <w:rPr>
                <w:iCs/>
                <w:snapToGrid w:val="0"/>
              </w:rPr>
              <w:t>°C</w:t>
            </w:r>
          </w:p>
        </w:tc>
      </w:tr>
      <w:tr w:rsidR="001D6C63" w:rsidRPr="00FF7228" w14:paraId="4F33FA1C" w14:textId="77777777" w:rsidTr="001D6C63">
        <w:tc>
          <w:tcPr>
            <w:tcW w:w="3580" w:type="dxa"/>
          </w:tcPr>
          <w:p w14:paraId="6BABC3CE" w14:textId="77777777" w:rsidR="001D6C63" w:rsidRPr="00FF7228" w:rsidRDefault="001D6C63">
            <w:pPr>
              <w:pStyle w:val="Normaltab0"/>
            </w:pPr>
            <w:r w:rsidRPr="00FF7228">
              <w:t xml:space="preserve">Počáteční bod varu a rozmezí bodu varu: </w:t>
            </w:r>
          </w:p>
        </w:tc>
        <w:tc>
          <w:tcPr>
            <w:tcW w:w="5492" w:type="dxa"/>
          </w:tcPr>
          <w:p w14:paraId="37839D3D" w14:textId="77777777" w:rsidR="001D6C63" w:rsidRPr="00FF7228" w:rsidRDefault="001C6D03" w:rsidP="0035325C">
            <w:pPr>
              <w:pStyle w:val="Normaltab0"/>
            </w:pPr>
            <w:r w:rsidRPr="00FF7228">
              <w:rPr>
                <w:snapToGrid w:val="0"/>
              </w:rPr>
              <w:t>cca 100</w:t>
            </w:r>
            <w:r w:rsidR="009B7E6D" w:rsidRPr="00FF7228">
              <w:rPr>
                <w:snapToGrid w:val="0"/>
              </w:rPr>
              <w:t xml:space="preserve"> </w:t>
            </w:r>
            <w:r w:rsidR="009B7E6D" w:rsidRPr="00FF7228">
              <w:rPr>
                <w:iCs/>
                <w:snapToGrid w:val="0"/>
              </w:rPr>
              <w:t>°C</w:t>
            </w:r>
          </w:p>
        </w:tc>
      </w:tr>
      <w:tr w:rsidR="001D6C63" w:rsidRPr="00FF7228" w14:paraId="15637BBA" w14:textId="77777777" w:rsidTr="001D6C63">
        <w:tc>
          <w:tcPr>
            <w:tcW w:w="3580" w:type="dxa"/>
          </w:tcPr>
          <w:p w14:paraId="180EF2EB" w14:textId="77777777" w:rsidR="001D6C63" w:rsidRPr="00FF7228" w:rsidRDefault="001D6C63">
            <w:pPr>
              <w:pStyle w:val="Normaltab0"/>
            </w:pPr>
            <w:r w:rsidRPr="00FF7228">
              <w:t>Bod vzplanutí:</w:t>
            </w:r>
          </w:p>
        </w:tc>
        <w:tc>
          <w:tcPr>
            <w:tcW w:w="5492" w:type="dxa"/>
          </w:tcPr>
          <w:p w14:paraId="1089E6AF" w14:textId="77777777" w:rsidR="001D6C63" w:rsidRPr="00FF7228" w:rsidRDefault="009B7E6D" w:rsidP="0035325C">
            <w:pPr>
              <w:pStyle w:val="Normaltab0"/>
            </w:pPr>
            <w:r w:rsidRPr="00FF7228">
              <w:rPr>
                <w:snapToGrid w:val="0"/>
              </w:rPr>
              <w:t>Kapalina, prakticky nehořlavá</w:t>
            </w:r>
          </w:p>
        </w:tc>
      </w:tr>
      <w:tr w:rsidR="001D6C63" w:rsidRPr="00FF7228" w14:paraId="1EA69CAE" w14:textId="77777777" w:rsidTr="001D6C63">
        <w:tc>
          <w:tcPr>
            <w:tcW w:w="3580" w:type="dxa"/>
          </w:tcPr>
          <w:p w14:paraId="248E523C" w14:textId="77777777" w:rsidR="001D6C63" w:rsidRPr="00FF7228" w:rsidRDefault="001D6C63">
            <w:pPr>
              <w:pStyle w:val="Normaltab0"/>
            </w:pPr>
            <w:r w:rsidRPr="00FF7228">
              <w:t>Rychlost odpařování:</w:t>
            </w:r>
          </w:p>
        </w:tc>
        <w:tc>
          <w:tcPr>
            <w:tcW w:w="5492" w:type="dxa"/>
          </w:tcPr>
          <w:p w14:paraId="02F57C1A" w14:textId="77777777" w:rsidR="001D6C63" w:rsidRPr="00FF7228" w:rsidRDefault="009B7E6D" w:rsidP="0035325C">
            <w:pPr>
              <w:pStyle w:val="Normaltab0"/>
            </w:pPr>
            <w:r w:rsidRPr="00FF7228">
              <w:t>Nestanoveno</w:t>
            </w:r>
          </w:p>
        </w:tc>
      </w:tr>
      <w:tr w:rsidR="001D6C63" w:rsidRPr="00FF7228" w14:paraId="3772D65A" w14:textId="77777777" w:rsidTr="001D6C63">
        <w:tc>
          <w:tcPr>
            <w:tcW w:w="3580" w:type="dxa"/>
          </w:tcPr>
          <w:p w14:paraId="78D591A2" w14:textId="77777777" w:rsidR="001D6C63" w:rsidRPr="00FF7228" w:rsidRDefault="001D6C63">
            <w:pPr>
              <w:pStyle w:val="Normaltab0"/>
            </w:pPr>
            <w:r w:rsidRPr="00FF7228">
              <w:t>Hořlavost (pevné látky, plyny):</w:t>
            </w:r>
          </w:p>
        </w:tc>
        <w:tc>
          <w:tcPr>
            <w:tcW w:w="5492" w:type="dxa"/>
          </w:tcPr>
          <w:p w14:paraId="3440DD34" w14:textId="77777777" w:rsidR="001C6D03" w:rsidRPr="00FF7228" w:rsidRDefault="009B7E6D" w:rsidP="009B7E6D">
            <w:pPr>
              <w:pStyle w:val="Normaltab0"/>
            </w:pPr>
            <w:r w:rsidRPr="00FF7228">
              <w:t xml:space="preserve">Nevztahuje se </w:t>
            </w:r>
          </w:p>
        </w:tc>
      </w:tr>
      <w:tr w:rsidR="001D6C63" w:rsidRPr="00FF7228" w14:paraId="654538FD" w14:textId="77777777" w:rsidTr="001D6C63">
        <w:tc>
          <w:tcPr>
            <w:tcW w:w="3580" w:type="dxa"/>
          </w:tcPr>
          <w:p w14:paraId="4B9618F4" w14:textId="77777777" w:rsidR="001D6C63" w:rsidRPr="00FF7228" w:rsidRDefault="001D6C63">
            <w:pPr>
              <w:pStyle w:val="Normaltab0"/>
            </w:pPr>
            <w:r w:rsidRPr="00FF7228">
              <w:t>Horní/dolní mezní hodnoty hořlavosti nebo výbušnosti:</w:t>
            </w:r>
          </w:p>
        </w:tc>
        <w:tc>
          <w:tcPr>
            <w:tcW w:w="5492" w:type="dxa"/>
          </w:tcPr>
          <w:p w14:paraId="584835CF" w14:textId="77777777" w:rsidR="001D6C63" w:rsidRPr="00FF7228" w:rsidRDefault="001C6D03" w:rsidP="0035325C">
            <w:pPr>
              <w:pStyle w:val="Normaltab0"/>
            </w:pPr>
            <w:r w:rsidRPr="00FF7228">
              <w:rPr>
                <w:snapToGrid w:val="0"/>
              </w:rPr>
              <w:t>Netvoří výbušné směsi</w:t>
            </w:r>
          </w:p>
        </w:tc>
      </w:tr>
      <w:tr w:rsidR="001D6C63" w:rsidRPr="00FF7228" w14:paraId="7C10FF50" w14:textId="77777777" w:rsidTr="001D6C63">
        <w:tc>
          <w:tcPr>
            <w:tcW w:w="3580" w:type="dxa"/>
          </w:tcPr>
          <w:p w14:paraId="2BA8263E" w14:textId="77777777" w:rsidR="001D6C63" w:rsidRPr="00FF7228" w:rsidRDefault="001D6C63">
            <w:pPr>
              <w:pStyle w:val="Normaltab0"/>
            </w:pPr>
            <w:r w:rsidRPr="00FF7228">
              <w:t>Tlak páry:</w:t>
            </w:r>
          </w:p>
        </w:tc>
        <w:tc>
          <w:tcPr>
            <w:tcW w:w="5492" w:type="dxa"/>
          </w:tcPr>
          <w:p w14:paraId="6CCFD450" w14:textId="77777777" w:rsidR="001D6C63" w:rsidRPr="00FF7228" w:rsidRDefault="009B7E6D" w:rsidP="0035325C">
            <w:pPr>
              <w:pStyle w:val="Normaltab0"/>
            </w:pPr>
            <w:r w:rsidRPr="00FF7228">
              <w:t>Nestanoveno</w:t>
            </w:r>
          </w:p>
        </w:tc>
      </w:tr>
      <w:tr w:rsidR="001D6C63" w:rsidRPr="00FF7228" w14:paraId="5F14866B" w14:textId="77777777" w:rsidTr="001D6C63">
        <w:tc>
          <w:tcPr>
            <w:tcW w:w="3580" w:type="dxa"/>
          </w:tcPr>
          <w:p w14:paraId="331FA2D0" w14:textId="77777777" w:rsidR="001D6C63" w:rsidRPr="00FF7228" w:rsidRDefault="001D6C63">
            <w:pPr>
              <w:pStyle w:val="Normaltab0"/>
            </w:pPr>
            <w:r w:rsidRPr="00FF7228">
              <w:t>Hustota páry:</w:t>
            </w:r>
          </w:p>
        </w:tc>
        <w:tc>
          <w:tcPr>
            <w:tcW w:w="5492" w:type="dxa"/>
          </w:tcPr>
          <w:p w14:paraId="5FB5DE0D" w14:textId="77777777" w:rsidR="001D6C63" w:rsidRPr="00FF7228" w:rsidRDefault="009B7E6D" w:rsidP="0035325C">
            <w:pPr>
              <w:pStyle w:val="Normaltab0"/>
            </w:pPr>
            <w:r w:rsidRPr="00FF7228">
              <w:t>Nestanoveno</w:t>
            </w:r>
          </w:p>
        </w:tc>
      </w:tr>
      <w:tr w:rsidR="001D6C63" w:rsidRPr="00FF7228" w14:paraId="41C2FE25" w14:textId="77777777" w:rsidTr="001D6C63">
        <w:tc>
          <w:tcPr>
            <w:tcW w:w="3580" w:type="dxa"/>
          </w:tcPr>
          <w:p w14:paraId="31758DB7" w14:textId="77777777" w:rsidR="001D6C63" w:rsidRPr="00FF7228" w:rsidRDefault="001D6C63">
            <w:pPr>
              <w:pStyle w:val="Normaltab0"/>
            </w:pPr>
            <w:r w:rsidRPr="00FF7228">
              <w:t>Relativní hustota:</w:t>
            </w:r>
          </w:p>
        </w:tc>
        <w:tc>
          <w:tcPr>
            <w:tcW w:w="5492" w:type="dxa"/>
          </w:tcPr>
          <w:p w14:paraId="05CA6CF7" w14:textId="77777777" w:rsidR="001D6C63" w:rsidRPr="00FF7228" w:rsidRDefault="009B7E6D" w:rsidP="007744E7">
            <w:pPr>
              <w:pStyle w:val="Normaltab0"/>
            </w:pPr>
            <w:r w:rsidRPr="00FF7228">
              <w:t>1</w:t>
            </w:r>
            <w:r w:rsidR="007744E7">
              <w:t>,</w:t>
            </w:r>
            <w:r w:rsidRPr="00FF7228">
              <w:t xml:space="preserve">02 </w:t>
            </w:r>
            <w:r w:rsidR="007744E7">
              <w:t>k</w:t>
            </w:r>
            <w:r w:rsidRPr="00FF7228">
              <w:t>g/m</w:t>
            </w:r>
            <w:r w:rsidRPr="00FF7228">
              <w:rPr>
                <w:vertAlign w:val="superscript"/>
              </w:rPr>
              <w:t>3</w:t>
            </w:r>
            <w:r w:rsidRPr="00FF7228">
              <w:t xml:space="preserve"> (</w:t>
            </w:r>
            <w:r w:rsidRPr="00FF7228">
              <w:rPr>
                <w:iCs/>
                <w:snapToGrid w:val="0"/>
              </w:rPr>
              <w:t>při 20 °C)</w:t>
            </w:r>
          </w:p>
        </w:tc>
      </w:tr>
      <w:tr w:rsidR="001D6C63" w:rsidRPr="00FF7228" w14:paraId="3F322151" w14:textId="77777777" w:rsidTr="001D6C63">
        <w:tc>
          <w:tcPr>
            <w:tcW w:w="3580" w:type="dxa"/>
          </w:tcPr>
          <w:p w14:paraId="709CB70B" w14:textId="77777777" w:rsidR="001D6C63" w:rsidRPr="00FF7228" w:rsidRDefault="001D6C63">
            <w:pPr>
              <w:pStyle w:val="Normaltab0"/>
            </w:pPr>
            <w:r w:rsidRPr="00FF7228">
              <w:t>Rozpustnost:</w:t>
            </w:r>
          </w:p>
        </w:tc>
        <w:tc>
          <w:tcPr>
            <w:tcW w:w="5492" w:type="dxa"/>
          </w:tcPr>
          <w:p w14:paraId="47270686" w14:textId="77777777" w:rsidR="001D6C63" w:rsidRPr="00FF7228" w:rsidRDefault="009B7E6D" w:rsidP="0035325C">
            <w:pPr>
              <w:pStyle w:val="Normaltab0"/>
            </w:pPr>
            <w:r w:rsidRPr="00FF7228">
              <w:t>Ve vodě plně rozpustný (</w:t>
            </w:r>
            <w:r w:rsidRPr="00FF7228">
              <w:rPr>
                <w:iCs/>
                <w:snapToGrid w:val="0"/>
              </w:rPr>
              <w:t>při 20 °C)</w:t>
            </w:r>
          </w:p>
        </w:tc>
      </w:tr>
      <w:tr w:rsidR="001D6C63" w:rsidRPr="00FF7228" w14:paraId="4922BF2D" w14:textId="77777777" w:rsidTr="001D6C63">
        <w:tc>
          <w:tcPr>
            <w:tcW w:w="3580" w:type="dxa"/>
          </w:tcPr>
          <w:p w14:paraId="0134E3B7" w14:textId="77777777" w:rsidR="001D6C63" w:rsidRPr="00FF7228" w:rsidRDefault="001D6C63">
            <w:pPr>
              <w:pStyle w:val="Normaltab0"/>
            </w:pPr>
            <w:r w:rsidRPr="00FF7228">
              <w:t>Rozdělovací koeficient: n-oktanol/voda:</w:t>
            </w:r>
          </w:p>
        </w:tc>
        <w:tc>
          <w:tcPr>
            <w:tcW w:w="5492" w:type="dxa"/>
          </w:tcPr>
          <w:p w14:paraId="65109B4D" w14:textId="77777777" w:rsidR="001D6C63" w:rsidRPr="00FF7228" w:rsidRDefault="009B7E6D" w:rsidP="0035325C">
            <w:pPr>
              <w:pStyle w:val="Normaltab0"/>
            </w:pPr>
            <w:r w:rsidRPr="00FF7228">
              <w:t>Nestanoveno</w:t>
            </w:r>
          </w:p>
        </w:tc>
      </w:tr>
      <w:tr w:rsidR="001D6C63" w:rsidRPr="00FF7228" w14:paraId="09423465" w14:textId="77777777" w:rsidTr="001D6C63">
        <w:tc>
          <w:tcPr>
            <w:tcW w:w="3580" w:type="dxa"/>
          </w:tcPr>
          <w:p w14:paraId="550CFD5C" w14:textId="77777777" w:rsidR="001D6C63" w:rsidRPr="00FF7228" w:rsidRDefault="001D6C63">
            <w:pPr>
              <w:pStyle w:val="Normaltab0"/>
            </w:pPr>
            <w:r w:rsidRPr="00FF7228">
              <w:t>Teplota samovznícení:</w:t>
            </w:r>
          </w:p>
        </w:tc>
        <w:tc>
          <w:tcPr>
            <w:tcW w:w="5492" w:type="dxa"/>
          </w:tcPr>
          <w:p w14:paraId="6E608E5B" w14:textId="77777777" w:rsidR="001D6C63" w:rsidRPr="00FF7228" w:rsidRDefault="009B7E6D" w:rsidP="0035325C">
            <w:pPr>
              <w:pStyle w:val="Normaltab0"/>
            </w:pPr>
            <w:r w:rsidRPr="00FF7228">
              <w:t>Nestanoveno</w:t>
            </w:r>
          </w:p>
        </w:tc>
      </w:tr>
      <w:tr w:rsidR="001D6C63" w:rsidRPr="00FF7228" w14:paraId="1D9A2883" w14:textId="77777777" w:rsidTr="001D6C63">
        <w:tc>
          <w:tcPr>
            <w:tcW w:w="3580" w:type="dxa"/>
          </w:tcPr>
          <w:p w14:paraId="4BE0B991" w14:textId="77777777" w:rsidR="001D6C63" w:rsidRPr="00FF7228" w:rsidRDefault="001D6C63">
            <w:pPr>
              <w:pStyle w:val="Normaltab0"/>
            </w:pPr>
            <w:r w:rsidRPr="00FF7228">
              <w:t>Teplota rozkladu:</w:t>
            </w:r>
          </w:p>
        </w:tc>
        <w:tc>
          <w:tcPr>
            <w:tcW w:w="5492" w:type="dxa"/>
          </w:tcPr>
          <w:p w14:paraId="073BD655" w14:textId="77777777" w:rsidR="001D6C63" w:rsidRPr="00FF7228" w:rsidRDefault="009B7E6D" w:rsidP="0035325C">
            <w:pPr>
              <w:pStyle w:val="Normaltab0"/>
            </w:pPr>
            <w:r w:rsidRPr="00FF7228">
              <w:t>Nestanoveno</w:t>
            </w:r>
          </w:p>
        </w:tc>
      </w:tr>
      <w:tr w:rsidR="001D6C63" w:rsidRPr="00FF7228" w14:paraId="5627CB90" w14:textId="77777777" w:rsidTr="001D6C63">
        <w:tc>
          <w:tcPr>
            <w:tcW w:w="3580" w:type="dxa"/>
          </w:tcPr>
          <w:p w14:paraId="3E10F4D1" w14:textId="77777777" w:rsidR="001D6C63" w:rsidRPr="00FF7228" w:rsidRDefault="001D6C63">
            <w:pPr>
              <w:pStyle w:val="Normaltab0"/>
            </w:pPr>
            <w:r w:rsidRPr="00FF7228">
              <w:t>Viskozita:</w:t>
            </w:r>
          </w:p>
        </w:tc>
        <w:tc>
          <w:tcPr>
            <w:tcW w:w="5492" w:type="dxa"/>
          </w:tcPr>
          <w:p w14:paraId="2B8CDDDA" w14:textId="77777777" w:rsidR="001D6C63" w:rsidRPr="00FF7228" w:rsidRDefault="009B7E6D" w:rsidP="0035325C">
            <w:pPr>
              <w:pStyle w:val="Normaltab0"/>
            </w:pPr>
            <w:r w:rsidRPr="00FF7228">
              <w:t>Nestanoveno</w:t>
            </w:r>
          </w:p>
        </w:tc>
      </w:tr>
      <w:tr w:rsidR="001D6C63" w:rsidRPr="00FF7228" w14:paraId="6E7FF315" w14:textId="77777777" w:rsidTr="001D6C63">
        <w:tc>
          <w:tcPr>
            <w:tcW w:w="3580" w:type="dxa"/>
          </w:tcPr>
          <w:p w14:paraId="4FB92535" w14:textId="77777777" w:rsidR="001D6C63" w:rsidRPr="00FF7228" w:rsidRDefault="001D6C63">
            <w:pPr>
              <w:pStyle w:val="Normaltab0"/>
            </w:pPr>
            <w:r w:rsidRPr="00FF7228">
              <w:t>Výbušné vlastnosti:</w:t>
            </w:r>
          </w:p>
        </w:tc>
        <w:tc>
          <w:tcPr>
            <w:tcW w:w="5492" w:type="dxa"/>
          </w:tcPr>
          <w:p w14:paraId="0CD5508D" w14:textId="77777777" w:rsidR="001D6C63" w:rsidRPr="00FF7228" w:rsidRDefault="009B7E6D" w:rsidP="0035325C">
            <w:pPr>
              <w:pStyle w:val="Normaltab0"/>
            </w:pPr>
            <w:r w:rsidRPr="00FF7228">
              <w:t xml:space="preserve">Nevýbušný </w:t>
            </w:r>
          </w:p>
        </w:tc>
      </w:tr>
      <w:tr w:rsidR="001D6C63" w:rsidRPr="00FF7228" w14:paraId="462371C5" w14:textId="77777777" w:rsidTr="001D6C63">
        <w:tc>
          <w:tcPr>
            <w:tcW w:w="3580" w:type="dxa"/>
          </w:tcPr>
          <w:p w14:paraId="3D9D5FDE" w14:textId="77777777" w:rsidR="001D6C63" w:rsidRPr="00FF7228" w:rsidRDefault="001D6C63">
            <w:pPr>
              <w:pStyle w:val="Normaltab0"/>
            </w:pPr>
            <w:r w:rsidRPr="00FF7228">
              <w:t>Oxidační vlastnosti:</w:t>
            </w:r>
          </w:p>
        </w:tc>
        <w:tc>
          <w:tcPr>
            <w:tcW w:w="5492" w:type="dxa"/>
          </w:tcPr>
          <w:p w14:paraId="5973AF93" w14:textId="77777777" w:rsidR="001D6C63" w:rsidRPr="00FF7228" w:rsidRDefault="009B7E6D" w:rsidP="0035325C">
            <w:pPr>
              <w:pStyle w:val="Normaltab0"/>
            </w:pPr>
            <w:r w:rsidRPr="00FF7228">
              <w:t xml:space="preserve">Neoxidující </w:t>
            </w:r>
          </w:p>
        </w:tc>
      </w:tr>
    </w:tbl>
    <w:p w14:paraId="58D06476" w14:textId="77777777" w:rsidR="00E44A0C" w:rsidRPr="00FF7228" w:rsidRDefault="00E44A0C">
      <w:pPr>
        <w:tabs>
          <w:tab w:val="left" w:pos="426"/>
        </w:tabs>
        <w:spacing w:before="120"/>
        <w:ind w:left="0"/>
        <w:rPr>
          <w:rFonts w:ascii="Arial" w:hAnsi="Arial" w:cs="Arial"/>
          <w:b/>
          <w:bCs/>
        </w:rPr>
      </w:pPr>
      <w:r w:rsidRPr="00FF7228">
        <w:rPr>
          <w:rFonts w:ascii="Arial" w:hAnsi="Arial" w:cs="Arial"/>
          <w:b/>
          <w:bCs/>
        </w:rPr>
        <w:t>9.2</w:t>
      </w:r>
      <w:r w:rsidRPr="00FF7228">
        <w:rPr>
          <w:rFonts w:ascii="Arial" w:hAnsi="Arial" w:cs="Arial"/>
          <w:b/>
          <w:bCs/>
        </w:rPr>
        <w:tab/>
        <w:t>Další informace</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80"/>
        <w:gridCol w:w="5492"/>
      </w:tblGrid>
      <w:tr w:rsidR="00E44A0C" w:rsidRPr="00FF7228" w14:paraId="430F6423" w14:textId="77777777">
        <w:tc>
          <w:tcPr>
            <w:tcW w:w="3580" w:type="dxa"/>
          </w:tcPr>
          <w:p w14:paraId="4DAAF129" w14:textId="77777777" w:rsidR="00E44A0C" w:rsidRPr="00FF7228" w:rsidRDefault="009B7E6D">
            <w:pPr>
              <w:pStyle w:val="Normaltab0"/>
            </w:pPr>
            <w:r w:rsidRPr="00FF7228">
              <w:t>Obsah VOC:</w:t>
            </w:r>
          </w:p>
        </w:tc>
        <w:tc>
          <w:tcPr>
            <w:tcW w:w="5492" w:type="dxa"/>
          </w:tcPr>
          <w:p w14:paraId="31F29A1F" w14:textId="77777777" w:rsidR="00E44A0C" w:rsidRPr="00FF7228" w:rsidRDefault="009B7E6D">
            <w:pPr>
              <w:pStyle w:val="Normaltab0"/>
            </w:pPr>
            <w:r w:rsidRPr="00FF7228">
              <w:t>0 %</w:t>
            </w:r>
          </w:p>
        </w:tc>
      </w:tr>
    </w:tbl>
    <w:p w14:paraId="40817A7E"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10: </w:t>
      </w:r>
      <w:r w:rsidRPr="00FF7228">
        <w:rPr>
          <w:caps w:val="0"/>
        </w:rPr>
        <w:t xml:space="preserve">Stálost a reaktivita </w:t>
      </w:r>
    </w:p>
    <w:p w14:paraId="4244FD34" w14:textId="77777777" w:rsidR="00E44A0C" w:rsidRPr="00FF7228" w:rsidRDefault="00E44A0C">
      <w:pPr>
        <w:pStyle w:val="Nadpis2"/>
        <w:numPr>
          <w:ilvl w:val="0"/>
          <w:numId w:val="0"/>
        </w:numPr>
        <w:tabs>
          <w:tab w:val="left" w:pos="567"/>
        </w:tabs>
        <w:jc w:val="both"/>
      </w:pPr>
      <w:r w:rsidRPr="00FF7228">
        <w:t>10.1</w:t>
      </w:r>
      <w:r w:rsidRPr="00FF7228">
        <w:tab/>
        <w:t>Reaktivita</w:t>
      </w:r>
    </w:p>
    <w:p w14:paraId="6BB28E07" w14:textId="77777777" w:rsidR="00167645" w:rsidRPr="00FF7228" w:rsidRDefault="00167645" w:rsidP="00167645">
      <w:pPr>
        <w:pStyle w:val="NormalTab"/>
        <w:jc w:val="both"/>
      </w:pPr>
      <w:r w:rsidRPr="00FF7228">
        <w:t>Za běžných podmínek nejsou známa žádná zvláštní rizika reakce s jinými látkami.</w:t>
      </w:r>
    </w:p>
    <w:p w14:paraId="3BFF9017" w14:textId="77777777" w:rsidR="00167645" w:rsidRPr="00FF7228" w:rsidRDefault="00167645" w:rsidP="00167645">
      <w:pPr>
        <w:pStyle w:val="Nadpis2"/>
        <w:numPr>
          <w:ilvl w:val="0"/>
          <w:numId w:val="0"/>
        </w:numPr>
        <w:tabs>
          <w:tab w:val="left" w:pos="567"/>
        </w:tabs>
        <w:jc w:val="both"/>
      </w:pPr>
      <w:r w:rsidRPr="00FF7228">
        <w:t>10.2</w:t>
      </w:r>
      <w:r w:rsidRPr="00FF7228">
        <w:tab/>
        <w:t>Chemická stabilita</w:t>
      </w:r>
    </w:p>
    <w:p w14:paraId="56478B69" w14:textId="77777777" w:rsidR="00167645" w:rsidRPr="00FF7228" w:rsidRDefault="00167645" w:rsidP="00167645">
      <w:pPr>
        <w:ind w:left="0"/>
        <w:jc w:val="both"/>
      </w:pPr>
      <w:r w:rsidRPr="00FF7228">
        <w:rPr>
          <w:szCs w:val="24"/>
        </w:rPr>
        <w:t>Za běžných podmínek okolního prostředí při skladování a manipulaci je stabilní.</w:t>
      </w:r>
    </w:p>
    <w:p w14:paraId="11BC18CF" w14:textId="77777777" w:rsidR="00167645" w:rsidRPr="00FF7228" w:rsidRDefault="00167645" w:rsidP="00167645">
      <w:pPr>
        <w:pStyle w:val="Nadpis2"/>
        <w:numPr>
          <w:ilvl w:val="0"/>
          <w:numId w:val="0"/>
        </w:numPr>
        <w:jc w:val="both"/>
      </w:pPr>
      <w:r w:rsidRPr="00FF7228">
        <w:t>10.3   Možnost nebezpečných reakcí</w:t>
      </w:r>
    </w:p>
    <w:p w14:paraId="7810729F" w14:textId="77777777" w:rsidR="00E44A0C" w:rsidRPr="00FF7228" w:rsidRDefault="00167645" w:rsidP="00167645">
      <w:pPr>
        <w:ind w:left="0"/>
        <w:jc w:val="both"/>
      </w:pPr>
      <w:r w:rsidRPr="00FF7228">
        <w:t>Nebezpečné reakce nejsou známy</w:t>
      </w:r>
      <w:r w:rsidR="009B7E6D" w:rsidRPr="00FF7228">
        <w:t xml:space="preserve">, nepředpokládají se. </w:t>
      </w:r>
    </w:p>
    <w:p w14:paraId="2A0A2B29" w14:textId="77777777" w:rsidR="00E44A0C" w:rsidRPr="00FF7228" w:rsidRDefault="00E44A0C">
      <w:pPr>
        <w:tabs>
          <w:tab w:val="left" w:pos="567"/>
        </w:tabs>
        <w:spacing w:before="120"/>
        <w:ind w:left="0"/>
        <w:jc w:val="both"/>
        <w:rPr>
          <w:rFonts w:ascii="Arial" w:hAnsi="Arial" w:cs="Arial"/>
          <w:b/>
          <w:bCs/>
        </w:rPr>
      </w:pPr>
      <w:r w:rsidRPr="00FF7228">
        <w:rPr>
          <w:rFonts w:ascii="Arial" w:hAnsi="Arial" w:cs="Arial"/>
          <w:b/>
          <w:bCs/>
        </w:rPr>
        <w:t>10.4</w:t>
      </w:r>
      <w:r w:rsidRPr="00FF7228">
        <w:rPr>
          <w:rFonts w:ascii="Arial" w:hAnsi="Arial" w:cs="Arial"/>
          <w:b/>
          <w:bCs/>
        </w:rPr>
        <w:tab/>
        <w:t>Podmínky, kterým je třeba zabránit</w:t>
      </w:r>
    </w:p>
    <w:p w14:paraId="63267EDC" w14:textId="77777777" w:rsidR="001D6C63" w:rsidRPr="00FF7228" w:rsidRDefault="009B7E6D" w:rsidP="001D6C63">
      <w:pPr>
        <w:ind w:left="0"/>
        <w:jc w:val="both"/>
      </w:pPr>
      <w:r w:rsidRPr="00FF7228">
        <w:rPr>
          <w:snapToGrid w:val="0"/>
        </w:rPr>
        <w:t>Teplota nižší než 5 °C a vyšší než 30 °C, přímé sluneční záření, kontakt s oxidačními činidly.</w:t>
      </w:r>
    </w:p>
    <w:p w14:paraId="56DDBC40" w14:textId="77777777" w:rsidR="007744E7" w:rsidRDefault="007744E7" w:rsidP="001D6C63">
      <w:pPr>
        <w:tabs>
          <w:tab w:val="left" w:pos="567"/>
        </w:tabs>
        <w:spacing w:before="120"/>
        <w:ind w:left="0"/>
        <w:jc w:val="both"/>
        <w:rPr>
          <w:rFonts w:ascii="Arial" w:hAnsi="Arial" w:cs="Arial"/>
          <w:b/>
          <w:bCs/>
        </w:rPr>
      </w:pPr>
    </w:p>
    <w:p w14:paraId="138BC688" w14:textId="77777777" w:rsidR="001D6C63" w:rsidRPr="00FF7228" w:rsidRDefault="001D6C63" w:rsidP="001D6C63">
      <w:pPr>
        <w:tabs>
          <w:tab w:val="left" w:pos="567"/>
        </w:tabs>
        <w:spacing w:before="120"/>
        <w:ind w:left="0"/>
        <w:jc w:val="both"/>
        <w:rPr>
          <w:rFonts w:ascii="Arial" w:hAnsi="Arial" w:cs="Arial"/>
          <w:b/>
          <w:bCs/>
        </w:rPr>
      </w:pPr>
      <w:r w:rsidRPr="00FF7228">
        <w:rPr>
          <w:rFonts w:ascii="Arial" w:hAnsi="Arial" w:cs="Arial"/>
          <w:b/>
          <w:bCs/>
        </w:rPr>
        <w:lastRenderedPageBreak/>
        <w:t>10.5</w:t>
      </w:r>
      <w:r w:rsidRPr="00FF7228">
        <w:rPr>
          <w:rFonts w:ascii="Arial" w:hAnsi="Arial" w:cs="Arial"/>
          <w:b/>
          <w:bCs/>
        </w:rPr>
        <w:tab/>
        <w:t>Neslučitelné materiály</w:t>
      </w:r>
    </w:p>
    <w:p w14:paraId="744C1CBB" w14:textId="77777777" w:rsidR="001D6C63" w:rsidRPr="00FF7228" w:rsidRDefault="009B7E6D" w:rsidP="001D6C63">
      <w:pPr>
        <w:ind w:left="0"/>
        <w:jc w:val="both"/>
      </w:pPr>
      <w:r w:rsidRPr="00FF7228">
        <w:t>Oxidační činidla.</w:t>
      </w:r>
    </w:p>
    <w:p w14:paraId="26F71D28" w14:textId="77777777" w:rsidR="001D6C63" w:rsidRPr="00FF7228" w:rsidRDefault="001D6C63" w:rsidP="001D6C63">
      <w:pPr>
        <w:tabs>
          <w:tab w:val="left" w:pos="567"/>
        </w:tabs>
        <w:spacing w:before="120"/>
        <w:ind w:left="0"/>
        <w:jc w:val="both"/>
        <w:rPr>
          <w:rFonts w:ascii="Arial" w:hAnsi="Arial" w:cs="Arial"/>
          <w:b/>
          <w:bCs/>
        </w:rPr>
      </w:pPr>
      <w:r w:rsidRPr="00FF7228">
        <w:rPr>
          <w:rFonts w:ascii="Arial" w:hAnsi="Arial" w:cs="Arial"/>
          <w:b/>
          <w:bCs/>
        </w:rPr>
        <w:t>10.6</w:t>
      </w:r>
      <w:r w:rsidRPr="00FF7228">
        <w:rPr>
          <w:rFonts w:ascii="Arial" w:hAnsi="Arial" w:cs="Arial"/>
          <w:b/>
          <w:bCs/>
        </w:rPr>
        <w:tab/>
        <w:t>Nebezpečné produkty rozkladu</w:t>
      </w:r>
    </w:p>
    <w:p w14:paraId="71265EAC" w14:textId="77777777" w:rsidR="00E44A0C" w:rsidRPr="00FF7228" w:rsidRDefault="009B7E6D">
      <w:pPr>
        <w:ind w:left="0"/>
        <w:jc w:val="both"/>
      </w:pPr>
      <w:r w:rsidRPr="00FF7228">
        <w:rPr>
          <w:snapToGrid w:val="0"/>
        </w:rPr>
        <w:t>Při tepelném rozkladu mohou vznikat nebezpečné produkty spalování CO a CO</w:t>
      </w:r>
      <w:r w:rsidRPr="00FF7228">
        <w:rPr>
          <w:snapToGrid w:val="0"/>
          <w:vertAlign w:val="subscript"/>
        </w:rPr>
        <w:t>2</w:t>
      </w:r>
      <w:r w:rsidRPr="00FF7228">
        <w:rPr>
          <w:snapToGrid w:val="0"/>
        </w:rPr>
        <w:t>.</w:t>
      </w:r>
    </w:p>
    <w:p w14:paraId="680ACFD6" w14:textId="77777777" w:rsidR="00E44A0C" w:rsidRPr="00FF7228" w:rsidRDefault="00E44A0C" w:rsidP="004A51D5">
      <w:pPr>
        <w:pStyle w:val="Nadpis1"/>
        <w:numPr>
          <w:ilvl w:val="0"/>
          <w:numId w:val="0"/>
        </w:numPr>
        <w:pBdr>
          <w:top w:val="single" w:sz="6" w:space="1" w:color="auto"/>
          <w:bottom w:val="single" w:sz="6" w:space="0" w:color="auto"/>
        </w:pBdr>
        <w:jc w:val="both"/>
      </w:pPr>
      <w:r w:rsidRPr="00FF7228">
        <w:t xml:space="preserve">ODDÍL 11: </w:t>
      </w:r>
      <w:r w:rsidRPr="00FF7228">
        <w:rPr>
          <w:caps w:val="0"/>
        </w:rPr>
        <w:t xml:space="preserve">Toxikologické informace </w:t>
      </w:r>
    </w:p>
    <w:p w14:paraId="01D43F8E" w14:textId="77777777" w:rsidR="00E44A0C" w:rsidRPr="00FF7228" w:rsidRDefault="00E44A0C">
      <w:pPr>
        <w:pStyle w:val="Nadpis2"/>
        <w:numPr>
          <w:ilvl w:val="0"/>
          <w:numId w:val="0"/>
        </w:numPr>
        <w:tabs>
          <w:tab w:val="left" w:pos="567"/>
        </w:tabs>
        <w:jc w:val="both"/>
      </w:pPr>
      <w:r w:rsidRPr="00FF7228">
        <w:t>11.1</w:t>
      </w:r>
      <w:r w:rsidRPr="00FF7228">
        <w:tab/>
        <w:t>Informace o toxikologických účincích</w:t>
      </w:r>
    </w:p>
    <w:p w14:paraId="4696D2E6" w14:textId="77777777" w:rsidR="009B7E6D" w:rsidRPr="00FF7228" w:rsidRDefault="009B7E6D" w:rsidP="001D6C63">
      <w:pPr>
        <w:pStyle w:val="Nadpis2"/>
        <w:numPr>
          <w:ilvl w:val="0"/>
          <w:numId w:val="0"/>
        </w:numPr>
        <w:spacing w:before="0"/>
        <w:jc w:val="both"/>
        <w:rPr>
          <w:rFonts w:ascii="Times New Roman" w:hAnsi="Times New Roman"/>
          <w:b w:val="0"/>
          <w:bCs/>
        </w:rPr>
      </w:pPr>
      <w:r w:rsidRPr="00FF7228">
        <w:rPr>
          <w:rFonts w:ascii="Times New Roman" w:hAnsi="Times New Roman"/>
          <w:b w:val="0"/>
        </w:rPr>
        <w:t xml:space="preserve">Pro směs nebyly toxikologické údaje experimentálně stanoveny, klasifikace směsi byla provedena </w:t>
      </w:r>
      <w:r w:rsidR="002E1C5C" w:rsidRPr="00FF7228">
        <w:rPr>
          <w:rFonts w:ascii="Times New Roman" w:hAnsi="Times New Roman"/>
          <w:b w:val="0"/>
          <w:szCs w:val="24"/>
        </w:rPr>
        <w:t>pomocí sumační metody podle nařízení (ES) č. 1272/2008</w:t>
      </w:r>
      <w:r w:rsidRPr="00FF7228">
        <w:rPr>
          <w:rFonts w:ascii="Times New Roman" w:hAnsi="Times New Roman"/>
          <w:b w:val="0"/>
        </w:rPr>
        <w:t xml:space="preserve">. </w:t>
      </w:r>
      <w:r w:rsidRPr="00FF7228">
        <w:rPr>
          <w:rFonts w:ascii="Times New Roman" w:hAnsi="Times New Roman"/>
          <w:b w:val="0"/>
          <w:bCs/>
        </w:rPr>
        <w:t xml:space="preserve">Údaje o možném účinku </w:t>
      </w:r>
      <w:r w:rsidR="002E1C5C" w:rsidRPr="00FF7228">
        <w:rPr>
          <w:rFonts w:ascii="Times New Roman" w:hAnsi="Times New Roman"/>
          <w:b w:val="0"/>
          <w:bCs/>
        </w:rPr>
        <w:t xml:space="preserve">směsi </w:t>
      </w:r>
      <w:r w:rsidRPr="00FF7228">
        <w:rPr>
          <w:rFonts w:ascii="Times New Roman" w:hAnsi="Times New Roman"/>
          <w:b w:val="0"/>
          <w:bCs/>
        </w:rPr>
        <w:t>vycházejí ze znalosti účinků jednotlivých složek.</w:t>
      </w:r>
    </w:p>
    <w:p w14:paraId="232590C2" w14:textId="77777777" w:rsidR="001D6C63" w:rsidRPr="00FF7228" w:rsidRDefault="001D6C63" w:rsidP="001D6C63">
      <w:pPr>
        <w:pStyle w:val="Nadpis2"/>
        <w:numPr>
          <w:ilvl w:val="0"/>
          <w:numId w:val="0"/>
        </w:numPr>
        <w:spacing w:before="0"/>
        <w:jc w:val="both"/>
        <w:rPr>
          <w:rFonts w:ascii="Times New Roman" w:hAnsi="Times New Roman"/>
        </w:rPr>
      </w:pPr>
      <w:r w:rsidRPr="00FF7228">
        <w:rPr>
          <w:rFonts w:ascii="Times New Roman" w:hAnsi="Times New Roman"/>
        </w:rPr>
        <w:t>Akutní toxicita</w:t>
      </w:r>
    </w:p>
    <w:p w14:paraId="732F2CBA" w14:textId="77777777" w:rsidR="00C968D9" w:rsidRPr="00FF7228" w:rsidRDefault="009B7E6D" w:rsidP="00C968D9">
      <w:pPr>
        <w:ind w:left="0"/>
      </w:pPr>
      <w:r w:rsidRPr="00FF7228">
        <w:rPr>
          <w:rFonts w:cs="EUAlbertina"/>
        </w:rPr>
        <w:t>Na základě dostupných údajů nejsou kritéria pro klasifikaci splněna.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1D6C63" w:rsidRPr="00FF7228" w14:paraId="6FA9DABA" w14:textId="77777777" w:rsidTr="0083529F">
        <w:tc>
          <w:tcPr>
            <w:tcW w:w="3119" w:type="dxa"/>
          </w:tcPr>
          <w:p w14:paraId="73D3DBFF" w14:textId="77777777" w:rsidR="001D6C63" w:rsidRPr="00FF7228" w:rsidRDefault="001D6C63" w:rsidP="0035325C">
            <w:pPr>
              <w:ind w:left="0"/>
              <w:jc w:val="both"/>
            </w:pPr>
            <w:r w:rsidRPr="00FF7228">
              <w:t>- LD</w:t>
            </w:r>
            <w:r w:rsidRPr="00FF7228">
              <w:rPr>
                <w:vertAlign w:val="subscript"/>
              </w:rPr>
              <w:t>50 ,</w:t>
            </w:r>
            <w:r w:rsidRPr="00FF7228">
              <w:t>orální, potkan (mg.kg</w:t>
            </w:r>
            <w:r w:rsidRPr="00FF7228">
              <w:rPr>
                <w:vertAlign w:val="superscript"/>
              </w:rPr>
              <w:t>-1</w:t>
            </w:r>
            <w:r w:rsidRPr="00FF7228">
              <w:t>):</w:t>
            </w:r>
          </w:p>
        </w:tc>
        <w:tc>
          <w:tcPr>
            <w:tcW w:w="5953" w:type="dxa"/>
          </w:tcPr>
          <w:p w14:paraId="21ABAC5E" w14:textId="77777777" w:rsidR="001D6C63" w:rsidRPr="00FF7228" w:rsidRDefault="0083529F" w:rsidP="0083529F">
            <w:pPr>
              <w:pStyle w:val="NormalTab"/>
            </w:pPr>
            <w:r w:rsidRPr="00FF7228">
              <w:t>&gt; 2 500 (alkoholy, C</w:t>
            </w:r>
            <w:r w:rsidRPr="00FF7228">
              <w:rPr>
                <w:vertAlign w:val="subscript"/>
              </w:rPr>
              <w:t>12-14</w:t>
            </w:r>
            <w:r w:rsidRPr="00FF7228">
              <w:t xml:space="preserve">, </w:t>
            </w:r>
            <w:proofErr w:type="spellStart"/>
            <w:r w:rsidRPr="00FF7228">
              <w:t>ethoxylované</w:t>
            </w:r>
            <w:proofErr w:type="spellEnd"/>
            <w:r w:rsidRPr="00FF7228">
              <w:t>, sírany, sodné soli)</w:t>
            </w:r>
          </w:p>
          <w:p w14:paraId="520046D2" w14:textId="77777777" w:rsidR="0083529F" w:rsidRPr="00FF7228" w:rsidRDefault="0083529F" w:rsidP="0083529F">
            <w:pPr>
              <w:overflowPunct/>
              <w:ind w:left="0"/>
              <w:textAlignment w:val="auto"/>
            </w:pPr>
            <w:r w:rsidRPr="00FF7228">
              <w:t>&gt; 2 000 (</w:t>
            </w:r>
            <w:proofErr w:type="spellStart"/>
            <w:r w:rsidRPr="00FF7228">
              <w:t>benzensulfonová</w:t>
            </w:r>
            <w:proofErr w:type="spellEnd"/>
            <w:r w:rsidRPr="00FF7228">
              <w:t xml:space="preserve"> kyselina, C</w:t>
            </w:r>
            <w:r w:rsidRPr="00FF7228">
              <w:rPr>
                <w:vertAlign w:val="subscript"/>
              </w:rPr>
              <w:t>10-13</w:t>
            </w:r>
            <w:r w:rsidRPr="00FF7228">
              <w:t>-alkylderiváty, sodné soli)</w:t>
            </w:r>
          </w:p>
        </w:tc>
      </w:tr>
      <w:tr w:rsidR="001D6C63" w:rsidRPr="00FF7228" w14:paraId="1CA0DC1A" w14:textId="77777777" w:rsidTr="0083529F">
        <w:tc>
          <w:tcPr>
            <w:tcW w:w="3119" w:type="dxa"/>
          </w:tcPr>
          <w:p w14:paraId="6238F5BF" w14:textId="77777777" w:rsidR="001D6C63" w:rsidRPr="00FF7228" w:rsidRDefault="001D6C63" w:rsidP="0083529F">
            <w:pPr>
              <w:ind w:left="0"/>
              <w:jc w:val="both"/>
            </w:pPr>
            <w:r w:rsidRPr="00FF7228">
              <w:t>- LD</w:t>
            </w:r>
            <w:r w:rsidRPr="00FF7228">
              <w:rPr>
                <w:vertAlign w:val="subscript"/>
              </w:rPr>
              <w:t xml:space="preserve">50, </w:t>
            </w:r>
            <w:r w:rsidRPr="00FF7228">
              <w:t>dermální, králík (mg.kg</w:t>
            </w:r>
            <w:r w:rsidRPr="00FF7228">
              <w:rPr>
                <w:vertAlign w:val="superscript"/>
              </w:rPr>
              <w:t>-1</w:t>
            </w:r>
            <w:r w:rsidRPr="00FF7228">
              <w:t>):</w:t>
            </w:r>
          </w:p>
        </w:tc>
        <w:tc>
          <w:tcPr>
            <w:tcW w:w="5953" w:type="dxa"/>
          </w:tcPr>
          <w:p w14:paraId="3E389B0B" w14:textId="77777777" w:rsidR="001D6C63" w:rsidRPr="00FF7228" w:rsidRDefault="0083529F" w:rsidP="0035325C">
            <w:pPr>
              <w:ind w:left="0"/>
            </w:pPr>
            <w:r w:rsidRPr="00FF7228">
              <w:t>&gt; 2 000 (alkoholy, C</w:t>
            </w:r>
            <w:r w:rsidRPr="00FF7228">
              <w:rPr>
                <w:vertAlign w:val="subscript"/>
              </w:rPr>
              <w:t>12-14</w:t>
            </w:r>
            <w:r w:rsidRPr="00FF7228">
              <w:t xml:space="preserve">, </w:t>
            </w:r>
            <w:proofErr w:type="spellStart"/>
            <w:r w:rsidRPr="00FF7228">
              <w:t>ethoxylované</w:t>
            </w:r>
            <w:proofErr w:type="spellEnd"/>
            <w:r w:rsidRPr="00FF7228">
              <w:t>, sírany, sodné soli)</w:t>
            </w:r>
          </w:p>
        </w:tc>
      </w:tr>
      <w:tr w:rsidR="001D6C63" w:rsidRPr="00FF7228" w14:paraId="510DE9AB" w14:textId="77777777" w:rsidTr="0083529F">
        <w:tc>
          <w:tcPr>
            <w:tcW w:w="3119" w:type="dxa"/>
          </w:tcPr>
          <w:p w14:paraId="62288286" w14:textId="77777777" w:rsidR="001D6C63" w:rsidRPr="00FF7228" w:rsidRDefault="001D6C63" w:rsidP="0035325C">
            <w:pPr>
              <w:ind w:left="0"/>
              <w:jc w:val="both"/>
            </w:pPr>
            <w:r w:rsidRPr="00FF7228">
              <w:t>- LC</w:t>
            </w:r>
            <w:r w:rsidRPr="00FF7228">
              <w:rPr>
                <w:vertAlign w:val="subscript"/>
              </w:rPr>
              <w:t xml:space="preserve">50, </w:t>
            </w:r>
            <w:r w:rsidRPr="00FF7228">
              <w:t>inhalační, potkan (mg.l</w:t>
            </w:r>
            <w:r w:rsidRPr="00FF7228">
              <w:rPr>
                <w:vertAlign w:val="superscript"/>
              </w:rPr>
              <w:t>-1</w:t>
            </w:r>
            <w:r w:rsidRPr="00FF7228">
              <w:t>):</w:t>
            </w:r>
          </w:p>
        </w:tc>
        <w:tc>
          <w:tcPr>
            <w:tcW w:w="5953" w:type="dxa"/>
          </w:tcPr>
          <w:p w14:paraId="4724278B" w14:textId="77777777" w:rsidR="001D6C63" w:rsidRPr="00FF7228" w:rsidRDefault="001D6C63" w:rsidP="0035325C">
            <w:pPr>
              <w:ind w:left="0"/>
            </w:pPr>
            <w:r w:rsidRPr="00FF7228">
              <w:t>Data nejsou k</w:t>
            </w:r>
            <w:r w:rsidR="009B7E6D" w:rsidRPr="00FF7228">
              <w:t> </w:t>
            </w:r>
            <w:r w:rsidRPr="00FF7228">
              <w:t>dispozici</w:t>
            </w:r>
          </w:p>
        </w:tc>
      </w:tr>
    </w:tbl>
    <w:p w14:paraId="1DCA2DB9"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Žíravost/dráždivost pro kůži</w:t>
      </w:r>
    </w:p>
    <w:p w14:paraId="7048DB8F" w14:textId="77777777" w:rsidR="001D6C63" w:rsidRPr="00FF7228" w:rsidRDefault="009B7E6D" w:rsidP="001D6C63">
      <w:pPr>
        <w:pStyle w:val="CM4"/>
        <w:spacing w:before="0" w:after="0"/>
        <w:jc w:val="both"/>
        <w:rPr>
          <w:rFonts w:ascii="Times New Roman" w:hAnsi="Times New Roman"/>
          <w:szCs w:val="17"/>
        </w:rPr>
      </w:pPr>
      <w:r w:rsidRPr="00FF7228">
        <w:rPr>
          <w:rFonts w:cs="EUAlbertina"/>
        </w:rPr>
        <w:t>Na základě dostupných údajů nejsou kritéria pro klasifikaci splněna.</w:t>
      </w:r>
    </w:p>
    <w:p w14:paraId="361BF67C"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 xml:space="preserve">Vážné poškození očí / podráždění očí </w:t>
      </w:r>
    </w:p>
    <w:p w14:paraId="69CBBE7F" w14:textId="77777777" w:rsidR="001D6C63" w:rsidRPr="00FF7228" w:rsidRDefault="009B7E6D" w:rsidP="001D6C63">
      <w:pPr>
        <w:ind w:left="0"/>
        <w:jc w:val="both"/>
      </w:pPr>
      <w:r w:rsidRPr="00FF7228">
        <w:t>Způsobuje vážné podráždění očí.</w:t>
      </w:r>
    </w:p>
    <w:p w14:paraId="48580AF8"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Senzibilizace dýchacích cest / senzibilizace kůže</w:t>
      </w:r>
    </w:p>
    <w:p w14:paraId="74A99718" w14:textId="77777777" w:rsidR="001D6C63" w:rsidRPr="00FF7228" w:rsidRDefault="009B7E6D" w:rsidP="001D6C63">
      <w:pPr>
        <w:ind w:left="0"/>
        <w:jc w:val="both"/>
      </w:pPr>
      <w:r w:rsidRPr="00FF7228">
        <w:rPr>
          <w:rFonts w:cs="EUAlbertina"/>
        </w:rPr>
        <w:t>Na základě dostupných údajů nejsou kritéria pro klasifikaci splněna.</w:t>
      </w:r>
    </w:p>
    <w:p w14:paraId="29166D1B"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Mutagenita v zárodečných buňkách</w:t>
      </w:r>
    </w:p>
    <w:p w14:paraId="5C64622C" w14:textId="77777777" w:rsidR="001D6C63" w:rsidRPr="00FF7228" w:rsidRDefault="009B7E6D" w:rsidP="001D6C63">
      <w:pPr>
        <w:ind w:left="0"/>
      </w:pPr>
      <w:r w:rsidRPr="00FF7228">
        <w:rPr>
          <w:rFonts w:cs="EUAlbertina"/>
        </w:rPr>
        <w:t>Na základě dostupných údajů nejsou kritéria pro klasifikaci splněna.</w:t>
      </w:r>
    </w:p>
    <w:p w14:paraId="12172920"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Karcinogenita</w:t>
      </w:r>
    </w:p>
    <w:p w14:paraId="1D915CC3" w14:textId="77777777" w:rsidR="001D6C63" w:rsidRPr="00FF7228" w:rsidRDefault="009B7E6D" w:rsidP="001D6C63">
      <w:pPr>
        <w:ind w:left="0"/>
        <w:jc w:val="both"/>
      </w:pPr>
      <w:r w:rsidRPr="00FF7228">
        <w:rPr>
          <w:rFonts w:cs="EUAlbertina"/>
        </w:rPr>
        <w:t>Na základě dostupných údajů nejsou kritéria pro klasifikaci splněna.</w:t>
      </w:r>
    </w:p>
    <w:p w14:paraId="6CA057CA"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Toxicita pro reprodukci</w:t>
      </w:r>
    </w:p>
    <w:p w14:paraId="5E54CE00" w14:textId="77777777" w:rsidR="001D6C63" w:rsidRPr="00FF7228" w:rsidRDefault="009B7E6D" w:rsidP="001D6C63">
      <w:pPr>
        <w:ind w:left="0"/>
        <w:jc w:val="both"/>
      </w:pPr>
      <w:r w:rsidRPr="00FF7228">
        <w:rPr>
          <w:rFonts w:cs="EUAlbertina"/>
        </w:rPr>
        <w:t>Na základě dostupných údajů nejsou kritéria pro klasifikaci splněna.</w:t>
      </w:r>
    </w:p>
    <w:p w14:paraId="766FCC4F"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Toxicita pro specifické cílové orgány – jednorázová expozice</w:t>
      </w:r>
    </w:p>
    <w:p w14:paraId="39FDEBA2" w14:textId="77777777" w:rsidR="001D6C63" w:rsidRPr="00FF7228" w:rsidRDefault="009B7E6D" w:rsidP="001D6C63">
      <w:pPr>
        <w:ind w:left="0"/>
        <w:jc w:val="both"/>
      </w:pPr>
      <w:r w:rsidRPr="00FF7228">
        <w:rPr>
          <w:rFonts w:cs="EUAlbertina"/>
        </w:rPr>
        <w:t>Na základě dostupných údajů nejsou kritéria pro klasifikaci splněna.</w:t>
      </w:r>
    </w:p>
    <w:p w14:paraId="5D458648" w14:textId="77777777" w:rsidR="001D6C63" w:rsidRPr="00FF7228" w:rsidRDefault="001D6C63" w:rsidP="001D6C63">
      <w:pPr>
        <w:pStyle w:val="CM4"/>
        <w:spacing w:before="0" w:after="0"/>
        <w:rPr>
          <w:rFonts w:ascii="Times New Roman" w:hAnsi="Times New Roman"/>
          <w:b/>
          <w:bCs/>
          <w:szCs w:val="17"/>
        </w:rPr>
      </w:pPr>
      <w:r w:rsidRPr="00FF7228">
        <w:rPr>
          <w:rFonts w:ascii="Times New Roman" w:hAnsi="Times New Roman"/>
          <w:b/>
          <w:bCs/>
          <w:szCs w:val="17"/>
        </w:rPr>
        <w:t xml:space="preserve">Toxicita pro specifické cílové orgány – opakovaná expozice </w:t>
      </w:r>
    </w:p>
    <w:p w14:paraId="4F3D6F97" w14:textId="77777777" w:rsidR="001D6C63" w:rsidRPr="00FF7228" w:rsidRDefault="009B7E6D" w:rsidP="001D6C63">
      <w:pPr>
        <w:ind w:left="0"/>
        <w:jc w:val="both"/>
      </w:pPr>
      <w:r w:rsidRPr="00FF7228">
        <w:rPr>
          <w:rFonts w:cs="EUAlbertina"/>
        </w:rPr>
        <w:t>Na základě dostupných údajů nejsou kritéria pro klasifikaci splněna.</w:t>
      </w:r>
    </w:p>
    <w:p w14:paraId="02EEE23B" w14:textId="77777777" w:rsidR="001D6C63" w:rsidRPr="00FF7228" w:rsidRDefault="001D6C63" w:rsidP="001D6C63">
      <w:pPr>
        <w:pStyle w:val="CM4"/>
        <w:spacing w:before="0" w:after="0"/>
        <w:rPr>
          <w:rFonts w:ascii="Times New Roman" w:hAnsi="Times New Roman"/>
          <w:b/>
          <w:bCs/>
        </w:rPr>
      </w:pPr>
      <w:r w:rsidRPr="00FF7228">
        <w:rPr>
          <w:rFonts w:ascii="Times New Roman" w:hAnsi="Times New Roman"/>
          <w:b/>
          <w:bCs/>
        </w:rPr>
        <w:t>Nebezpečnost při vdechnutí</w:t>
      </w:r>
    </w:p>
    <w:p w14:paraId="216993E7" w14:textId="77777777" w:rsidR="001D6C63" w:rsidRPr="00FF7228" w:rsidRDefault="001D6C63" w:rsidP="001D6C63">
      <w:pPr>
        <w:ind w:left="0"/>
        <w:rPr>
          <w:rFonts w:cs="EUAlbertina"/>
        </w:rPr>
      </w:pPr>
      <w:r w:rsidRPr="00FF7228">
        <w:rPr>
          <w:rFonts w:cs="EUAlbertina"/>
        </w:rPr>
        <w:t>Na základě dostupných údajů nejsou kritéria pro klasifikaci splněna.</w:t>
      </w:r>
    </w:p>
    <w:p w14:paraId="6A5BCDAC"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12: </w:t>
      </w:r>
      <w:r w:rsidRPr="00FF7228">
        <w:rPr>
          <w:caps w:val="0"/>
        </w:rPr>
        <w:t xml:space="preserve">Ekologické informace  </w:t>
      </w:r>
    </w:p>
    <w:p w14:paraId="5EEE3EA3" w14:textId="77777777" w:rsidR="002E1C5C" w:rsidRPr="00FF7228" w:rsidRDefault="002E1C5C" w:rsidP="002E1C5C">
      <w:pPr>
        <w:pStyle w:val="Nadpis2"/>
        <w:numPr>
          <w:ilvl w:val="0"/>
          <w:numId w:val="0"/>
        </w:numPr>
        <w:tabs>
          <w:tab w:val="left" w:pos="567"/>
        </w:tabs>
        <w:spacing w:before="0"/>
        <w:jc w:val="both"/>
        <w:rPr>
          <w:rFonts w:ascii="Times New Roman" w:hAnsi="Times New Roman"/>
          <w:b w:val="0"/>
          <w:bCs/>
        </w:rPr>
      </w:pPr>
      <w:r w:rsidRPr="00FF7228">
        <w:rPr>
          <w:rFonts w:ascii="Times New Roman" w:hAnsi="Times New Roman"/>
          <w:b w:val="0"/>
        </w:rPr>
        <w:t xml:space="preserve">Pro směs nebyly ekotoxikologické údaje experimentálně stanoveny, klasifikace směsi byla provedena </w:t>
      </w:r>
      <w:r w:rsidRPr="00FF7228">
        <w:rPr>
          <w:rFonts w:ascii="Times New Roman" w:hAnsi="Times New Roman"/>
          <w:b w:val="0"/>
          <w:szCs w:val="24"/>
        </w:rPr>
        <w:t>pomocí sumační metody podle nařízení (ES) č. 1272/2008</w:t>
      </w:r>
      <w:r w:rsidRPr="00FF7228">
        <w:rPr>
          <w:rFonts w:ascii="Times New Roman" w:hAnsi="Times New Roman"/>
          <w:b w:val="0"/>
        </w:rPr>
        <w:t xml:space="preserve">. </w:t>
      </w:r>
      <w:r w:rsidRPr="00FF7228">
        <w:rPr>
          <w:rFonts w:ascii="Times New Roman" w:hAnsi="Times New Roman"/>
          <w:b w:val="0"/>
          <w:bCs/>
        </w:rPr>
        <w:t>Údaje o možném účinku směsi vycházejí ze znalosti účinků jednotlivých složek.</w:t>
      </w:r>
    </w:p>
    <w:p w14:paraId="74E5D66B" w14:textId="77777777" w:rsidR="00E44A0C" w:rsidRPr="00FF7228" w:rsidRDefault="00E44A0C">
      <w:pPr>
        <w:pStyle w:val="Nadpis2"/>
        <w:numPr>
          <w:ilvl w:val="0"/>
          <w:numId w:val="0"/>
        </w:numPr>
        <w:tabs>
          <w:tab w:val="left" w:pos="567"/>
        </w:tabs>
        <w:jc w:val="both"/>
      </w:pPr>
      <w:r w:rsidRPr="00FF7228">
        <w:t>12.1</w:t>
      </w:r>
      <w:r w:rsidRPr="00FF7228">
        <w:tab/>
        <w:t>Toxicita</w:t>
      </w:r>
    </w:p>
    <w:p w14:paraId="305FB398" w14:textId="77777777" w:rsidR="002E1C5C" w:rsidRPr="00FF7228" w:rsidRDefault="002E1C5C" w:rsidP="002E1C5C">
      <w:pPr>
        <w:pStyle w:val="Zkladntext"/>
        <w:spacing w:after="0"/>
        <w:ind w:left="0"/>
        <w:rPr>
          <w:bCs/>
        </w:rPr>
      </w:pPr>
      <w:r w:rsidRPr="00FF7228">
        <w:t>Produkt není klasifikován jako nebezpečný pro vodní prostředí.</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095"/>
      </w:tblGrid>
      <w:tr w:rsidR="00E44A0C" w:rsidRPr="00FF7228" w14:paraId="2900EC25" w14:textId="77777777">
        <w:tc>
          <w:tcPr>
            <w:tcW w:w="2977" w:type="dxa"/>
          </w:tcPr>
          <w:p w14:paraId="62799746" w14:textId="77777777" w:rsidR="00E44A0C" w:rsidRPr="00FF7228" w:rsidRDefault="00E44A0C">
            <w:pPr>
              <w:ind w:left="0"/>
              <w:jc w:val="both"/>
            </w:pPr>
            <w:r w:rsidRPr="00FF7228">
              <w:t>- LC</w:t>
            </w:r>
            <w:r w:rsidRPr="00FF7228">
              <w:rPr>
                <w:vertAlign w:val="subscript"/>
              </w:rPr>
              <w:t xml:space="preserve">50, </w:t>
            </w:r>
            <w:r w:rsidRPr="00FF7228">
              <w:t>96 hod., ryby (mg.l</w:t>
            </w:r>
            <w:r w:rsidRPr="00FF7228">
              <w:rPr>
                <w:vertAlign w:val="superscript"/>
              </w:rPr>
              <w:t>-1</w:t>
            </w:r>
            <w:r w:rsidRPr="00FF7228">
              <w:t>):</w:t>
            </w:r>
          </w:p>
        </w:tc>
        <w:tc>
          <w:tcPr>
            <w:tcW w:w="6095" w:type="dxa"/>
          </w:tcPr>
          <w:p w14:paraId="6DAD3616" w14:textId="77777777" w:rsidR="00E44A0C" w:rsidRPr="00FF7228" w:rsidRDefault="0083529F">
            <w:pPr>
              <w:ind w:left="0"/>
              <w:jc w:val="both"/>
            </w:pPr>
            <w:r w:rsidRPr="00FF7228">
              <w:t>7,1 (alkoholy, C</w:t>
            </w:r>
            <w:r w:rsidRPr="00FF7228">
              <w:rPr>
                <w:vertAlign w:val="subscript"/>
              </w:rPr>
              <w:t>12-14</w:t>
            </w:r>
            <w:r w:rsidRPr="00FF7228">
              <w:t xml:space="preserve">, </w:t>
            </w:r>
            <w:proofErr w:type="spellStart"/>
            <w:r w:rsidRPr="00FF7228">
              <w:t>ethoxylované</w:t>
            </w:r>
            <w:proofErr w:type="spellEnd"/>
            <w:r w:rsidRPr="00FF7228">
              <w:t>, sírany, sodné soli)</w:t>
            </w:r>
          </w:p>
        </w:tc>
      </w:tr>
      <w:tr w:rsidR="00E44A0C" w:rsidRPr="00FF7228" w14:paraId="7D656DBC" w14:textId="77777777">
        <w:tc>
          <w:tcPr>
            <w:tcW w:w="2977" w:type="dxa"/>
          </w:tcPr>
          <w:p w14:paraId="23700E8D" w14:textId="77777777" w:rsidR="00E44A0C" w:rsidRPr="00FF7228" w:rsidRDefault="00E44A0C">
            <w:pPr>
              <w:ind w:left="0"/>
              <w:jc w:val="both"/>
            </w:pPr>
            <w:r w:rsidRPr="00FF7228">
              <w:t>- EC</w:t>
            </w:r>
            <w:r w:rsidRPr="00FF7228">
              <w:rPr>
                <w:vertAlign w:val="subscript"/>
              </w:rPr>
              <w:t xml:space="preserve">50, </w:t>
            </w:r>
            <w:r w:rsidRPr="00FF7228">
              <w:t>48 hod., korýši (mg.l</w:t>
            </w:r>
            <w:r w:rsidRPr="00FF7228">
              <w:rPr>
                <w:vertAlign w:val="superscript"/>
              </w:rPr>
              <w:t>-1</w:t>
            </w:r>
            <w:r w:rsidRPr="00FF7228">
              <w:t>):</w:t>
            </w:r>
          </w:p>
        </w:tc>
        <w:tc>
          <w:tcPr>
            <w:tcW w:w="6095" w:type="dxa"/>
          </w:tcPr>
          <w:p w14:paraId="1CEAF929" w14:textId="77777777" w:rsidR="00E44A0C" w:rsidRPr="00FF7228" w:rsidRDefault="0083529F">
            <w:pPr>
              <w:pStyle w:val="NormalTab"/>
            </w:pPr>
            <w:r w:rsidRPr="00FF7228">
              <w:t>7,4 (alkoholy, C</w:t>
            </w:r>
            <w:r w:rsidRPr="00FF7228">
              <w:rPr>
                <w:vertAlign w:val="subscript"/>
              </w:rPr>
              <w:t>12-14</w:t>
            </w:r>
            <w:r w:rsidRPr="00FF7228">
              <w:t xml:space="preserve">, </w:t>
            </w:r>
            <w:proofErr w:type="spellStart"/>
            <w:r w:rsidRPr="00FF7228">
              <w:t>ethoxylované</w:t>
            </w:r>
            <w:proofErr w:type="spellEnd"/>
            <w:r w:rsidRPr="00FF7228">
              <w:t>, sírany, sodné soli)</w:t>
            </w:r>
          </w:p>
        </w:tc>
      </w:tr>
      <w:tr w:rsidR="00E44A0C" w:rsidRPr="00FF7228" w14:paraId="37B40DCB" w14:textId="77777777">
        <w:tc>
          <w:tcPr>
            <w:tcW w:w="2977" w:type="dxa"/>
          </w:tcPr>
          <w:p w14:paraId="372FCF51" w14:textId="77777777" w:rsidR="00E44A0C" w:rsidRPr="00FF7228" w:rsidRDefault="00E44A0C">
            <w:pPr>
              <w:ind w:left="0"/>
              <w:jc w:val="both"/>
            </w:pPr>
            <w:r w:rsidRPr="00FF7228">
              <w:t>- IC</w:t>
            </w:r>
            <w:r w:rsidRPr="00FF7228">
              <w:rPr>
                <w:vertAlign w:val="subscript"/>
              </w:rPr>
              <w:t xml:space="preserve">50, </w:t>
            </w:r>
            <w:r w:rsidRPr="00FF7228">
              <w:t>72 hod., řasy (mg.l</w:t>
            </w:r>
            <w:r w:rsidRPr="00FF7228">
              <w:rPr>
                <w:vertAlign w:val="superscript"/>
              </w:rPr>
              <w:t>-1</w:t>
            </w:r>
            <w:r w:rsidRPr="00FF7228">
              <w:t>):</w:t>
            </w:r>
          </w:p>
        </w:tc>
        <w:tc>
          <w:tcPr>
            <w:tcW w:w="6095" w:type="dxa"/>
          </w:tcPr>
          <w:p w14:paraId="40312061" w14:textId="77777777" w:rsidR="00E44A0C" w:rsidRPr="00FF7228" w:rsidRDefault="0083529F">
            <w:pPr>
              <w:ind w:left="0"/>
            </w:pPr>
            <w:r w:rsidRPr="00FF7228">
              <w:t>27,7 (alkoholy, C</w:t>
            </w:r>
            <w:r w:rsidRPr="00FF7228">
              <w:rPr>
                <w:vertAlign w:val="subscript"/>
              </w:rPr>
              <w:t>12-14</w:t>
            </w:r>
            <w:r w:rsidRPr="00FF7228">
              <w:t xml:space="preserve">, </w:t>
            </w:r>
            <w:proofErr w:type="spellStart"/>
            <w:r w:rsidRPr="00FF7228">
              <w:t>ethoxylované</w:t>
            </w:r>
            <w:proofErr w:type="spellEnd"/>
            <w:r w:rsidRPr="00FF7228">
              <w:t>, sírany, sodné soli)</w:t>
            </w:r>
          </w:p>
        </w:tc>
      </w:tr>
    </w:tbl>
    <w:p w14:paraId="1181F572" w14:textId="77777777" w:rsidR="00E44A0C" w:rsidRPr="00FF7228" w:rsidRDefault="00E44A0C">
      <w:pPr>
        <w:pStyle w:val="Nadpis2"/>
        <w:numPr>
          <w:ilvl w:val="0"/>
          <w:numId w:val="0"/>
        </w:numPr>
        <w:tabs>
          <w:tab w:val="left" w:pos="567"/>
        </w:tabs>
        <w:jc w:val="both"/>
      </w:pPr>
      <w:r w:rsidRPr="00FF7228">
        <w:t>12.2</w:t>
      </w:r>
      <w:r w:rsidRPr="00FF7228">
        <w:tab/>
        <w:t>Perzistence a rozložitelnost</w:t>
      </w:r>
    </w:p>
    <w:p w14:paraId="41B1E1F1" w14:textId="77777777" w:rsidR="00C968D9" w:rsidRPr="00FF7228" w:rsidRDefault="00C968D9">
      <w:pPr>
        <w:pStyle w:val="NormalTab"/>
        <w:jc w:val="both"/>
      </w:pPr>
      <w:r w:rsidRPr="00FF7228">
        <w:rPr>
          <w:bCs/>
        </w:rPr>
        <w:t xml:space="preserve">Povrchově aktivní látky obsažené v produktu jsou v souladu s kritérii rozložitelnosti podle nařízení Rady (ES) č. 648/2004 o detergentech. </w:t>
      </w:r>
      <w:r w:rsidRPr="00FF7228">
        <w:t>Veškeré pomocné údaje jsou k dispozici odpovědným orgánům členských států a budou poskytnuty na vyžádání příslušných orgánů.</w:t>
      </w:r>
    </w:p>
    <w:p w14:paraId="6035B7FC" w14:textId="77777777" w:rsidR="00E44A0C" w:rsidRPr="00FF7228" w:rsidRDefault="00E44A0C">
      <w:pPr>
        <w:pStyle w:val="Nadpis2"/>
        <w:numPr>
          <w:ilvl w:val="0"/>
          <w:numId w:val="0"/>
        </w:numPr>
        <w:tabs>
          <w:tab w:val="left" w:pos="567"/>
        </w:tabs>
        <w:jc w:val="both"/>
      </w:pPr>
      <w:r w:rsidRPr="00FF7228">
        <w:t>12.3</w:t>
      </w:r>
      <w:r w:rsidRPr="00FF7228">
        <w:tab/>
        <w:t>Bioakumulační potenciál</w:t>
      </w:r>
    </w:p>
    <w:p w14:paraId="07E02BCC" w14:textId="77777777" w:rsidR="0083529F" w:rsidRPr="00FF7228" w:rsidRDefault="002E1C5C" w:rsidP="0083529F">
      <w:pPr>
        <w:pStyle w:val="NormalTab"/>
        <w:jc w:val="both"/>
      </w:pPr>
      <w:r w:rsidRPr="00FF7228">
        <w:t xml:space="preserve">Není předpokládána </w:t>
      </w:r>
      <w:proofErr w:type="spellStart"/>
      <w:r w:rsidRPr="00FF7228">
        <w:t>bioakumulace</w:t>
      </w:r>
      <w:proofErr w:type="spellEnd"/>
      <w:r w:rsidRPr="00FF7228">
        <w:t xml:space="preserve"> v organismech</w:t>
      </w:r>
      <w:r w:rsidR="0083529F" w:rsidRPr="00FF7228">
        <w:t>.</w:t>
      </w:r>
    </w:p>
    <w:p w14:paraId="3DFCDE24" w14:textId="77777777" w:rsidR="0083529F" w:rsidRPr="00FF7228" w:rsidRDefault="0083529F">
      <w:pPr>
        <w:pStyle w:val="NormalTab"/>
        <w:jc w:val="both"/>
      </w:pPr>
      <w:r w:rsidRPr="00FF7228">
        <w:t>Alkoholy, C</w:t>
      </w:r>
      <w:r w:rsidRPr="00FF7228">
        <w:rPr>
          <w:vertAlign w:val="subscript"/>
        </w:rPr>
        <w:t>12-14</w:t>
      </w:r>
      <w:r w:rsidRPr="00FF7228">
        <w:t xml:space="preserve">, </w:t>
      </w:r>
      <w:proofErr w:type="spellStart"/>
      <w:r w:rsidRPr="00FF7228">
        <w:t>ethoxylované</w:t>
      </w:r>
      <w:proofErr w:type="spellEnd"/>
      <w:r w:rsidRPr="00FF7228">
        <w:t xml:space="preserve">, sírany, sodné soli: log </w:t>
      </w:r>
      <w:proofErr w:type="spellStart"/>
      <w:r w:rsidRPr="00FF7228">
        <w:t>Pow</w:t>
      </w:r>
      <w:proofErr w:type="spellEnd"/>
      <w:r w:rsidRPr="00FF7228">
        <w:t xml:space="preserve"> = - 1,38</w:t>
      </w:r>
    </w:p>
    <w:p w14:paraId="28E2EB4A" w14:textId="77777777" w:rsidR="00E44A0C" w:rsidRPr="00FF7228" w:rsidRDefault="00E44A0C">
      <w:pPr>
        <w:pStyle w:val="Nadpis2"/>
        <w:numPr>
          <w:ilvl w:val="0"/>
          <w:numId w:val="0"/>
        </w:numPr>
        <w:tabs>
          <w:tab w:val="left" w:pos="567"/>
        </w:tabs>
        <w:jc w:val="both"/>
      </w:pPr>
      <w:r w:rsidRPr="00FF7228">
        <w:t>12.4</w:t>
      </w:r>
      <w:r w:rsidRPr="00FF7228">
        <w:tab/>
        <w:t>Mobilita v půdě</w:t>
      </w:r>
    </w:p>
    <w:p w14:paraId="2469320D" w14:textId="77777777" w:rsidR="00E44A0C" w:rsidRPr="00FF7228" w:rsidRDefault="00E44A0C">
      <w:pPr>
        <w:pStyle w:val="NormalTab"/>
        <w:jc w:val="both"/>
      </w:pPr>
      <w:r w:rsidRPr="00FF7228">
        <w:t>Data nejsou k dispozici.</w:t>
      </w:r>
    </w:p>
    <w:p w14:paraId="72B1F117" w14:textId="77777777" w:rsidR="00E44A0C" w:rsidRPr="00FF7228" w:rsidRDefault="00E44A0C">
      <w:pPr>
        <w:pStyle w:val="Nadpis2"/>
        <w:numPr>
          <w:ilvl w:val="0"/>
          <w:numId w:val="0"/>
        </w:numPr>
        <w:tabs>
          <w:tab w:val="left" w:pos="567"/>
        </w:tabs>
        <w:jc w:val="both"/>
      </w:pPr>
      <w:r w:rsidRPr="00FF7228">
        <w:lastRenderedPageBreak/>
        <w:t>12.5</w:t>
      </w:r>
      <w:r w:rsidRPr="00FF7228">
        <w:tab/>
        <w:t xml:space="preserve">Výsledky posouzení PBT a </w:t>
      </w:r>
      <w:proofErr w:type="spellStart"/>
      <w:r w:rsidRPr="00FF7228">
        <w:t>vPvB</w:t>
      </w:r>
      <w:proofErr w:type="spellEnd"/>
    </w:p>
    <w:p w14:paraId="2F7AED6D" w14:textId="77777777" w:rsidR="00E44A0C" w:rsidRPr="00FF7228" w:rsidRDefault="004F12CC">
      <w:pPr>
        <w:ind w:left="0"/>
        <w:jc w:val="both"/>
      </w:pPr>
      <w:r w:rsidRPr="00FF7228">
        <w:t xml:space="preserve">Směs neobsahuje látky vyhodnocené jako PBT nebo </w:t>
      </w:r>
      <w:proofErr w:type="spellStart"/>
      <w:r w:rsidRPr="00FF7228">
        <w:t>vPvB</w:t>
      </w:r>
      <w:proofErr w:type="spellEnd"/>
      <w:r w:rsidRPr="00FF7228">
        <w:t>.</w:t>
      </w:r>
    </w:p>
    <w:p w14:paraId="19F341FF" w14:textId="77777777" w:rsidR="00E44A0C" w:rsidRPr="00FF7228" w:rsidRDefault="00E44A0C">
      <w:pPr>
        <w:pStyle w:val="Nadpis2"/>
        <w:numPr>
          <w:ilvl w:val="0"/>
          <w:numId w:val="0"/>
        </w:numPr>
        <w:jc w:val="both"/>
      </w:pPr>
      <w:r w:rsidRPr="00FF7228">
        <w:t>12.6   Jiné nepříznivé účinky</w:t>
      </w:r>
    </w:p>
    <w:p w14:paraId="24378D7C" w14:textId="77777777" w:rsidR="00E44A0C" w:rsidRPr="00FF7228" w:rsidRDefault="002E1C5C">
      <w:pPr>
        <w:ind w:left="0"/>
        <w:jc w:val="both"/>
      </w:pPr>
      <w:r w:rsidRPr="00FF7228">
        <w:t>Při normálním použití nelze očekávat ohrožení životního prostředí.</w:t>
      </w:r>
    </w:p>
    <w:p w14:paraId="023B8A38"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13: </w:t>
      </w:r>
      <w:r w:rsidRPr="00FF7228">
        <w:rPr>
          <w:caps w:val="0"/>
        </w:rPr>
        <w:t xml:space="preserve">Pokyny pro odstraňování </w:t>
      </w:r>
    </w:p>
    <w:p w14:paraId="4132345A" w14:textId="77777777" w:rsidR="00E44A0C" w:rsidRPr="00FF7228" w:rsidRDefault="00E44A0C">
      <w:pPr>
        <w:pStyle w:val="Nadpis2"/>
        <w:numPr>
          <w:ilvl w:val="0"/>
          <w:numId w:val="0"/>
        </w:numPr>
        <w:tabs>
          <w:tab w:val="left" w:pos="567"/>
        </w:tabs>
        <w:jc w:val="both"/>
      </w:pPr>
      <w:bookmarkStart w:id="0" w:name="_Toc66779669"/>
      <w:r w:rsidRPr="00FF7228">
        <w:t>13.1</w:t>
      </w:r>
      <w:bookmarkEnd w:id="0"/>
      <w:r w:rsidRPr="00FF7228">
        <w:tab/>
        <w:t>Metody nakládání s odpady</w:t>
      </w:r>
    </w:p>
    <w:p w14:paraId="3E0F2868" w14:textId="77777777" w:rsidR="00E44A0C" w:rsidRPr="00FF7228" w:rsidRDefault="00E44A0C">
      <w:pPr>
        <w:pStyle w:val="NormalTab"/>
        <w:jc w:val="both"/>
      </w:pPr>
      <w:r w:rsidRPr="00FF7228">
        <w:t>Katalogová čísla druhů odpadů zařazuje uživatel na základě použité aplikace výrobku a dalších skutečností.</w:t>
      </w:r>
    </w:p>
    <w:p w14:paraId="668DE1BD" w14:textId="77777777" w:rsidR="00E44A0C" w:rsidRPr="00FF7228" w:rsidRDefault="00E44A0C">
      <w:pPr>
        <w:pStyle w:val="NormalTab"/>
        <w:jc w:val="both"/>
      </w:pPr>
      <w:r w:rsidRPr="00FF7228">
        <w:t>Nesmí se odstraňovat společně s komunálními odpady. Nevylévat do kanalizace.</w:t>
      </w:r>
    </w:p>
    <w:p w14:paraId="6C1A0632" w14:textId="77777777" w:rsidR="001348E7" w:rsidRPr="00FF7228" w:rsidRDefault="00171995">
      <w:pPr>
        <w:pStyle w:val="NormalTab"/>
        <w:rPr>
          <w:u w:val="single"/>
        </w:rPr>
      </w:pPr>
      <w:r w:rsidRPr="00FF7228">
        <w:rPr>
          <w:u w:val="single"/>
        </w:rPr>
        <w:t>Doporučený k</w:t>
      </w:r>
      <w:r w:rsidR="00E44A0C" w:rsidRPr="00FF7228">
        <w:rPr>
          <w:u w:val="single"/>
        </w:rPr>
        <w:t>ód odpadu:</w:t>
      </w:r>
      <w:r w:rsidR="002E1C5C" w:rsidRPr="00FF7228">
        <w:rPr>
          <w:u w:val="single"/>
        </w:rPr>
        <w:t xml:space="preserve"> </w:t>
      </w:r>
    </w:p>
    <w:p w14:paraId="3D6C93A4" w14:textId="77777777" w:rsidR="00E44A0C" w:rsidRPr="00FF7228" w:rsidRDefault="001348E7">
      <w:pPr>
        <w:pStyle w:val="NormalTab"/>
      </w:pPr>
      <w:r w:rsidRPr="00FF7228">
        <w:t xml:space="preserve">Nepoužitý výrobek: </w:t>
      </w:r>
      <w:r w:rsidR="002E1C5C" w:rsidRPr="00FF7228">
        <w:t>16 0</w:t>
      </w:r>
      <w:r w:rsidR="00014420">
        <w:t>3 05</w:t>
      </w:r>
      <w:r w:rsidRPr="00FF7228">
        <w:t>* Organické odpady obsahující nebezpečné látky</w:t>
      </w:r>
    </w:p>
    <w:p w14:paraId="0968CE94" w14:textId="77777777" w:rsidR="00E44A0C" w:rsidRPr="00FF7228" w:rsidRDefault="001348E7">
      <w:pPr>
        <w:pStyle w:val="NormalTab"/>
      </w:pPr>
      <w:r w:rsidRPr="00FF7228">
        <w:t>Používaný výrobek: 20 01 29* Detergenty obsahující nebezpečné látky</w:t>
      </w:r>
    </w:p>
    <w:p w14:paraId="14C9A8A2" w14:textId="77777777" w:rsidR="00E44A0C" w:rsidRPr="00FF7228" w:rsidRDefault="001348E7" w:rsidP="00BD6EE8">
      <w:pPr>
        <w:pStyle w:val="NormalTab"/>
        <w:ind w:left="1418" w:right="-2" w:hanging="1418"/>
      </w:pPr>
      <w:r w:rsidRPr="00FF7228">
        <w:t>Znečištěné o</w:t>
      </w:r>
      <w:r w:rsidR="00E44A0C" w:rsidRPr="00FF7228">
        <w:t xml:space="preserve">baly: </w:t>
      </w:r>
      <w:r w:rsidRPr="00FF7228">
        <w:t xml:space="preserve"> </w:t>
      </w:r>
      <w:r w:rsidR="00E44A0C" w:rsidRPr="00FF7228">
        <w:t>15 01 10* Obaly obsahující zbytky nebezpečných látek nebo obaly těmito látkami kontaminované</w:t>
      </w:r>
    </w:p>
    <w:p w14:paraId="1757106B" w14:textId="77777777" w:rsidR="001348E7" w:rsidRPr="00FF7228" w:rsidRDefault="001348E7" w:rsidP="00BD6EE8">
      <w:pPr>
        <w:pStyle w:val="NormalTab"/>
        <w:ind w:left="1418" w:hanging="1418"/>
      </w:pPr>
      <w:r w:rsidRPr="00FF7228">
        <w:t>Vyčištěné obaly: 15 01 02 Plastové obaly</w:t>
      </w:r>
    </w:p>
    <w:p w14:paraId="021D89E1" w14:textId="77777777" w:rsidR="00E44A0C" w:rsidRPr="00FF7228" w:rsidRDefault="00E44A0C" w:rsidP="00BD6EE8">
      <w:pPr>
        <w:pStyle w:val="NormalTab"/>
        <w:ind w:left="1418" w:hanging="1418"/>
      </w:pPr>
      <w:r w:rsidRPr="00FF7228">
        <w:t>Odpady z čištění:</w:t>
      </w:r>
      <w:r w:rsidRPr="00FF7228">
        <w:tab/>
        <w:t>15 02 03 Absorpční činidla, filtrační materiály, čistící tkaniny a ochranné oděvy neuvedené pod číslem 15 02 02</w:t>
      </w:r>
    </w:p>
    <w:p w14:paraId="423F2846" w14:textId="77777777" w:rsidR="00E44A0C" w:rsidRPr="00FF7228" w:rsidRDefault="00E44A0C" w:rsidP="001348E7">
      <w:pPr>
        <w:pStyle w:val="NormalTab"/>
        <w:spacing w:before="120"/>
        <w:jc w:val="both"/>
        <w:rPr>
          <w:b/>
          <w:bCs/>
          <w:i/>
          <w:iCs/>
        </w:rPr>
      </w:pPr>
      <w:r w:rsidRPr="00FF7228">
        <w:rPr>
          <w:b/>
          <w:bCs/>
          <w:i/>
          <w:iCs/>
        </w:rPr>
        <w:t>Doporučený způsob odstranění pro právnické osoby a fyzické osoby oprávněné k podnikání:</w:t>
      </w:r>
    </w:p>
    <w:p w14:paraId="0BF8CD5E" w14:textId="77777777" w:rsidR="00E44A0C" w:rsidRPr="00FF7228" w:rsidRDefault="00E44A0C">
      <w:pPr>
        <w:pStyle w:val="NormalTab"/>
        <w:jc w:val="both"/>
      </w:pPr>
      <w:r w:rsidRPr="00FF7228">
        <w:t>Nepoužitý výrobek a znečištěný obal uložit do označených nádob pro sběr odpadu a označený odpad předat k odstranění oprávněné osobě k odstranění odpadu (specializované firmě), která má oprávnění k této činnosti.</w:t>
      </w:r>
    </w:p>
    <w:p w14:paraId="62EB41A6" w14:textId="77777777" w:rsidR="002D2C9E" w:rsidRPr="00FF7228" w:rsidRDefault="00D81514" w:rsidP="002D2C9E">
      <w:pPr>
        <w:pStyle w:val="NormalTab"/>
        <w:jc w:val="both"/>
      </w:pPr>
      <w:r w:rsidRPr="00FF7228">
        <w:t xml:space="preserve">Doporučené odstranění výrobku nebo obalu: </w:t>
      </w:r>
      <w:r w:rsidR="002D2C9E" w:rsidRPr="00FF7228">
        <w:t xml:space="preserve">výrobek recyklovat, pokud je to možné, nebo spalovat ve schváleném zařízení. Znečištěné obaly musí být před recyklací vyčištěny. Spalování nebo skládkování zvážit jen v případě, že není možná recyklace. </w:t>
      </w:r>
    </w:p>
    <w:p w14:paraId="7642677A" w14:textId="77777777" w:rsidR="00E44A0C" w:rsidRPr="00FF7228" w:rsidRDefault="00E44A0C" w:rsidP="003A62A1">
      <w:pPr>
        <w:pStyle w:val="NormalTab"/>
        <w:jc w:val="both"/>
      </w:pPr>
      <w:r w:rsidRPr="00FF7228">
        <w:rPr>
          <w:b/>
          <w:bCs/>
          <w:i/>
          <w:iCs/>
        </w:rPr>
        <w:t>Doporučený způsob odstranění pro spotřebitele:</w:t>
      </w:r>
      <w:r w:rsidRPr="00FF7228">
        <w:t xml:space="preserve"> </w:t>
      </w:r>
      <w:r w:rsidR="003A62A1" w:rsidRPr="00FF7228">
        <w:t>Použitý obal po vypláchnutí odevzdejte do tříděného odpadu, zbytek nespotřebovaného výrobku odstraňte s přebytkem vody do kanalizace.</w:t>
      </w:r>
    </w:p>
    <w:p w14:paraId="6C889BEB" w14:textId="77777777" w:rsidR="00E44A0C" w:rsidRPr="00FF7228" w:rsidRDefault="00E44A0C">
      <w:pPr>
        <w:spacing w:before="120"/>
        <w:ind w:left="0"/>
        <w:jc w:val="both"/>
        <w:rPr>
          <w:b/>
        </w:rPr>
      </w:pPr>
      <w:r w:rsidRPr="00FF7228">
        <w:rPr>
          <w:b/>
        </w:rPr>
        <w:t>Právní předpisy o odpadech</w:t>
      </w:r>
    </w:p>
    <w:p w14:paraId="4FD27617" w14:textId="77777777" w:rsidR="00E44A0C" w:rsidRPr="00FF7228" w:rsidRDefault="00E44A0C">
      <w:pPr>
        <w:ind w:left="0"/>
        <w:jc w:val="both"/>
      </w:pPr>
      <w:r w:rsidRPr="00FF7228">
        <w:t>Zákon č. 185/2001 Sb. o odpadech</w:t>
      </w:r>
      <w:r w:rsidR="00F20A34" w:rsidRPr="00FF7228">
        <w:t>,</w:t>
      </w:r>
      <w:r w:rsidRPr="00FF7228">
        <w:t xml:space="preserve"> ve znění pozdějších předpisů. Jestliže se tento výrobek a jeho obal stanou odpadem, </w:t>
      </w:r>
      <w:r w:rsidRPr="00FF7228">
        <w:rPr>
          <w:u w:val="single"/>
        </w:rPr>
        <w:t>musí konečný uživatel přidělit odpovídající kód odpadu</w:t>
      </w:r>
      <w:r w:rsidRPr="00FF7228">
        <w:t xml:space="preserve"> podle vyhlášky č. 381/2001 Sb.</w:t>
      </w:r>
      <w:r w:rsidR="00F20A34" w:rsidRPr="00FF7228">
        <w:t>,</w:t>
      </w:r>
      <w:r w:rsidRPr="00FF7228">
        <w:t xml:space="preserve"> ve znění pozdějších předpisů. Zákon č. 477/2001 Sb. o obalech</w:t>
      </w:r>
      <w:r w:rsidR="00F20A34" w:rsidRPr="00FF7228">
        <w:t>,</w:t>
      </w:r>
      <w:r w:rsidRPr="00FF7228">
        <w:t xml:space="preserve"> ve znění pozdějších předpisů.</w:t>
      </w:r>
      <w:r w:rsidRPr="00FF7228">
        <w:tab/>
      </w:r>
    </w:p>
    <w:p w14:paraId="5809239A"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14: </w:t>
      </w:r>
      <w:r w:rsidRPr="00FF7228">
        <w:rPr>
          <w:caps w:val="0"/>
        </w:rPr>
        <w:t>Informace pro přepravu</w:t>
      </w:r>
      <w:bookmarkStart w:id="1" w:name="_Toc66779673"/>
      <w:r w:rsidRPr="00FF7228">
        <w:rPr>
          <w:caps w:val="0"/>
        </w:rPr>
        <w:t xml:space="preserve"> </w:t>
      </w:r>
    </w:p>
    <w:p w14:paraId="71A79D37" w14:textId="77777777" w:rsidR="00E44A0C" w:rsidRPr="00FF7228" w:rsidRDefault="00E44A0C">
      <w:pPr>
        <w:ind w:left="0"/>
        <w:jc w:val="both"/>
      </w:pPr>
      <w:r w:rsidRPr="00FF7228">
        <w:t>Nepodléhá předpisům pro přepravu nebezpečných věcí (ADR).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523"/>
      </w:tblGrid>
      <w:tr w:rsidR="00E44A0C" w:rsidRPr="00FF7228" w14:paraId="77C2B6EA" w14:textId="77777777">
        <w:tc>
          <w:tcPr>
            <w:tcW w:w="4497" w:type="dxa"/>
          </w:tcPr>
          <w:p w14:paraId="464731C1"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14.1</w:t>
            </w:r>
            <w:r w:rsidRPr="00FF7228">
              <w:rPr>
                <w:rFonts w:ascii="Arial" w:hAnsi="Arial" w:cs="Arial"/>
                <w:b/>
                <w:bCs/>
                <w:szCs w:val="17"/>
              </w:rPr>
              <w:tab/>
            </w:r>
            <w:r w:rsidRPr="00FF7228">
              <w:rPr>
                <w:rFonts w:ascii="Times New Roman" w:hAnsi="Times New Roman"/>
                <w:b/>
              </w:rPr>
              <w:t xml:space="preserve">Číslo OSN </w:t>
            </w:r>
          </w:p>
        </w:tc>
        <w:tc>
          <w:tcPr>
            <w:tcW w:w="4605" w:type="dxa"/>
            <w:vAlign w:val="center"/>
          </w:tcPr>
          <w:p w14:paraId="344C8CCF" w14:textId="77777777" w:rsidR="00E44A0C" w:rsidRPr="00FF7228" w:rsidRDefault="001348E7">
            <w:pPr>
              <w:ind w:left="0"/>
              <w:jc w:val="both"/>
            </w:pPr>
            <w:r w:rsidRPr="00FF7228">
              <w:t>Nepodléhá předpisům</w:t>
            </w:r>
          </w:p>
        </w:tc>
      </w:tr>
      <w:tr w:rsidR="003445CF" w:rsidRPr="00FF7228" w14:paraId="3AF65784" w14:textId="77777777">
        <w:tc>
          <w:tcPr>
            <w:tcW w:w="4497" w:type="dxa"/>
          </w:tcPr>
          <w:p w14:paraId="03F0276C" w14:textId="77777777" w:rsidR="003445CF" w:rsidRPr="00FF7228" w:rsidRDefault="003445CF">
            <w:pPr>
              <w:pStyle w:val="CM4"/>
              <w:tabs>
                <w:tab w:val="left" w:pos="459"/>
              </w:tabs>
              <w:rPr>
                <w:rFonts w:ascii="Times New Roman" w:hAnsi="Times New Roman"/>
                <w:b/>
              </w:rPr>
            </w:pPr>
            <w:r w:rsidRPr="00FF7228">
              <w:rPr>
                <w:rFonts w:ascii="Times New Roman" w:hAnsi="Times New Roman"/>
                <w:b/>
              </w:rPr>
              <w:t>14.2</w:t>
            </w:r>
            <w:r w:rsidRPr="00FF7228">
              <w:rPr>
                <w:rFonts w:ascii="Arial" w:hAnsi="Arial" w:cs="Arial"/>
                <w:b/>
                <w:bCs/>
                <w:szCs w:val="17"/>
              </w:rPr>
              <w:tab/>
            </w:r>
            <w:r w:rsidRPr="00FF7228">
              <w:rPr>
                <w:rFonts w:ascii="Times New Roman" w:hAnsi="Times New Roman"/>
                <w:b/>
              </w:rPr>
              <w:t>Náležitý název OSN pro zásilku</w:t>
            </w:r>
          </w:p>
        </w:tc>
        <w:tc>
          <w:tcPr>
            <w:tcW w:w="4605" w:type="dxa"/>
            <w:vAlign w:val="center"/>
          </w:tcPr>
          <w:p w14:paraId="2F2509D1" w14:textId="77777777" w:rsidR="003445CF" w:rsidRPr="00FF7228" w:rsidRDefault="001348E7">
            <w:pPr>
              <w:ind w:left="0"/>
              <w:jc w:val="both"/>
            </w:pPr>
            <w:r w:rsidRPr="00FF7228">
              <w:t>Nepodléhá předpisům</w:t>
            </w:r>
          </w:p>
        </w:tc>
      </w:tr>
      <w:tr w:rsidR="00E44A0C" w:rsidRPr="00FF7228" w14:paraId="4F2CFB18" w14:textId="77777777">
        <w:tc>
          <w:tcPr>
            <w:tcW w:w="4497" w:type="dxa"/>
          </w:tcPr>
          <w:p w14:paraId="17882C76"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14.3</w:t>
            </w:r>
            <w:r w:rsidRPr="00FF7228">
              <w:rPr>
                <w:rFonts w:ascii="Arial" w:hAnsi="Arial" w:cs="Arial"/>
                <w:b/>
                <w:bCs/>
                <w:szCs w:val="17"/>
              </w:rPr>
              <w:tab/>
            </w:r>
            <w:r w:rsidRPr="00FF7228">
              <w:rPr>
                <w:rFonts w:ascii="Times New Roman" w:hAnsi="Times New Roman"/>
                <w:b/>
              </w:rPr>
              <w:t xml:space="preserve">Třída/třídy nebezpečnosti pro přepravu </w:t>
            </w:r>
          </w:p>
        </w:tc>
        <w:tc>
          <w:tcPr>
            <w:tcW w:w="4605" w:type="dxa"/>
            <w:vAlign w:val="center"/>
          </w:tcPr>
          <w:p w14:paraId="5E1E659C" w14:textId="77777777" w:rsidR="00E44A0C" w:rsidRPr="00FF7228" w:rsidRDefault="001348E7">
            <w:pPr>
              <w:ind w:left="0"/>
              <w:jc w:val="both"/>
            </w:pPr>
            <w:r w:rsidRPr="00FF7228">
              <w:t>Nepodléhá předpisům</w:t>
            </w:r>
          </w:p>
        </w:tc>
      </w:tr>
      <w:tr w:rsidR="00E44A0C" w:rsidRPr="00FF7228" w14:paraId="69065755" w14:textId="77777777">
        <w:tc>
          <w:tcPr>
            <w:tcW w:w="4497" w:type="dxa"/>
          </w:tcPr>
          <w:p w14:paraId="0BA9B75E"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14.4</w:t>
            </w:r>
            <w:r w:rsidRPr="00FF7228">
              <w:rPr>
                <w:rFonts w:ascii="Arial" w:hAnsi="Arial" w:cs="Arial"/>
                <w:b/>
                <w:bCs/>
                <w:szCs w:val="17"/>
              </w:rPr>
              <w:tab/>
            </w:r>
            <w:r w:rsidRPr="00FF7228">
              <w:rPr>
                <w:rFonts w:ascii="Times New Roman" w:hAnsi="Times New Roman"/>
                <w:b/>
              </w:rPr>
              <w:t xml:space="preserve">Obalová skupina </w:t>
            </w:r>
          </w:p>
        </w:tc>
        <w:tc>
          <w:tcPr>
            <w:tcW w:w="4605" w:type="dxa"/>
            <w:vAlign w:val="center"/>
          </w:tcPr>
          <w:p w14:paraId="08EC36FE" w14:textId="77777777" w:rsidR="00E44A0C" w:rsidRPr="00FF7228" w:rsidRDefault="001348E7">
            <w:pPr>
              <w:ind w:left="0"/>
              <w:jc w:val="both"/>
            </w:pPr>
            <w:r w:rsidRPr="00FF7228">
              <w:t>Nepodléhá předpisům</w:t>
            </w:r>
          </w:p>
        </w:tc>
      </w:tr>
      <w:tr w:rsidR="00E44A0C" w:rsidRPr="00FF7228" w14:paraId="267B982B" w14:textId="77777777">
        <w:tc>
          <w:tcPr>
            <w:tcW w:w="4497" w:type="dxa"/>
          </w:tcPr>
          <w:p w14:paraId="33514666"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14.5</w:t>
            </w:r>
            <w:r w:rsidRPr="00FF7228">
              <w:rPr>
                <w:rFonts w:ascii="Arial" w:hAnsi="Arial" w:cs="Arial"/>
                <w:b/>
                <w:bCs/>
                <w:szCs w:val="17"/>
              </w:rPr>
              <w:tab/>
            </w:r>
            <w:r w:rsidRPr="00FF7228">
              <w:rPr>
                <w:rFonts w:ascii="Times New Roman" w:hAnsi="Times New Roman"/>
                <w:b/>
              </w:rPr>
              <w:t xml:space="preserve">Nebezpečnost pro životní prostředí </w:t>
            </w:r>
          </w:p>
        </w:tc>
        <w:tc>
          <w:tcPr>
            <w:tcW w:w="4605" w:type="dxa"/>
            <w:vAlign w:val="center"/>
          </w:tcPr>
          <w:p w14:paraId="50068DD2" w14:textId="77777777" w:rsidR="00E44A0C" w:rsidRPr="00FF7228" w:rsidRDefault="00E44A0C" w:rsidP="001348E7">
            <w:pPr>
              <w:ind w:left="0"/>
              <w:jc w:val="both"/>
            </w:pPr>
            <w:r w:rsidRPr="00FF7228">
              <w:t>Ne</w:t>
            </w:r>
            <w:r w:rsidRPr="00FF7228">
              <w:rPr>
                <w:b/>
                <w:bCs/>
              </w:rPr>
              <w:t xml:space="preserve"> </w:t>
            </w:r>
          </w:p>
        </w:tc>
      </w:tr>
      <w:tr w:rsidR="00E44A0C" w:rsidRPr="00FF7228" w14:paraId="115A3E9B" w14:textId="77777777">
        <w:tc>
          <w:tcPr>
            <w:tcW w:w="4497" w:type="dxa"/>
          </w:tcPr>
          <w:p w14:paraId="6E896C28"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14.6</w:t>
            </w:r>
            <w:r w:rsidRPr="00FF7228">
              <w:rPr>
                <w:rFonts w:ascii="Arial" w:hAnsi="Arial" w:cs="Arial"/>
                <w:b/>
                <w:bCs/>
                <w:szCs w:val="17"/>
              </w:rPr>
              <w:tab/>
            </w:r>
            <w:r w:rsidRPr="00FF7228">
              <w:rPr>
                <w:rFonts w:ascii="Times New Roman" w:hAnsi="Times New Roman"/>
                <w:b/>
              </w:rPr>
              <w:t xml:space="preserve">Zvláštní bezpečnostní opatření pro uživatele </w:t>
            </w:r>
          </w:p>
        </w:tc>
        <w:tc>
          <w:tcPr>
            <w:tcW w:w="4605" w:type="dxa"/>
            <w:vAlign w:val="center"/>
          </w:tcPr>
          <w:p w14:paraId="29071FC3" w14:textId="77777777" w:rsidR="00E44A0C" w:rsidRPr="00FF7228" w:rsidRDefault="00E44A0C">
            <w:pPr>
              <w:ind w:left="0"/>
              <w:jc w:val="both"/>
            </w:pPr>
            <w:r w:rsidRPr="00FF7228">
              <w:t>Není známo</w:t>
            </w:r>
          </w:p>
        </w:tc>
      </w:tr>
      <w:tr w:rsidR="00E44A0C" w:rsidRPr="00FF7228" w14:paraId="0E7A598D" w14:textId="77777777">
        <w:tc>
          <w:tcPr>
            <w:tcW w:w="4497" w:type="dxa"/>
          </w:tcPr>
          <w:p w14:paraId="4E206DB7" w14:textId="77777777" w:rsidR="00E44A0C" w:rsidRPr="00FF7228" w:rsidRDefault="00E44A0C">
            <w:pPr>
              <w:pStyle w:val="CM4"/>
              <w:tabs>
                <w:tab w:val="left" w:pos="459"/>
              </w:tabs>
              <w:rPr>
                <w:rFonts w:ascii="Times New Roman" w:hAnsi="Times New Roman"/>
                <w:b/>
                <w:bCs/>
                <w:szCs w:val="17"/>
              </w:rPr>
            </w:pPr>
            <w:r w:rsidRPr="00FF7228">
              <w:rPr>
                <w:rFonts w:ascii="Times New Roman" w:hAnsi="Times New Roman"/>
                <w:b/>
              </w:rPr>
              <w:t>14.7</w:t>
            </w:r>
            <w:r w:rsidRPr="00FF7228">
              <w:rPr>
                <w:rFonts w:ascii="Arial" w:hAnsi="Arial" w:cs="Arial"/>
                <w:b/>
                <w:bCs/>
                <w:szCs w:val="17"/>
              </w:rPr>
              <w:tab/>
            </w:r>
            <w:r w:rsidRPr="00FF7228">
              <w:rPr>
                <w:rFonts w:ascii="Times New Roman" w:hAnsi="Times New Roman"/>
                <w:b/>
              </w:rPr>
              <w:t>Hromadná přeprava podle přílohy II MARPOL73/78 a předpisu IBC</w:t>
            </w:r>
          </w:p>
        </w:tc>
        <w:tc>
          <w:tcPr>
            <w:tcW w:w="4605" w:type="dxa"/>
            <w:vAlign w:val="center"/>
          </w:tcPr>
          <w:p w14:paraId="4D1DE22B" w14:textId="77777777" w:rsidR="00E44A0C" w:rsidRPr="00FF7228" w:rsidRDefault="00E44A0C">
            <w:pPr>
              <w:ind w:left="0"/>
              <w:jc w:val="both"/>
            </w:pPr>
            <w:r w:rsidRPr="00FF7228">
              <w:t>Není známo</w:t>
            </w:r>
          </w:p>
        </w:tc>
      </w:tr>
    </w:tbl>
    <w:bookmarkEnd w:id="1"/>
    <w:p w14:paraId="06CA261B" w14:textId="77777777" w:rsidR="00E44A0C" w:rsidRPr="00FF7228" w:rsidRDefault="00E44A0C">
      <w:pPr>
        <w:pStyle w:val="Nadpis1"/>
        <w:numPr>
          <w:ilvl w:val="0"/>
          <w:numId w:val="0"/>
        </w:numPr>
        <w:pBdr>
          <w:top w:val="single" w:sz="6" w:space="1" w:color="auto"/>
          <w:bottom w:val="single" w:sz="6" w:space="1" w:color="auto"/>
        </w:pBdr>
      </w:pPr>
      <w:r w:rsidRPr="00FF7228">
        <w:t xml:space="preserve">ODDÍL 15: </w:t>
      </w:r>
      <w:r w:rsidRPr="00FF7228">
        <w:rPr>
          <w:caps w:val="0"/>
        </w:rPr>
        <w:t xml:space="preserve">Informace o předpisech </w:t>
      </w:r>
    </w:p>
    <w:p w14:paraId="14248FE9" w14:textId="77777777" w:rsidR="00E44A0C" w:rsidRPr="00FF7228" w:rsidRDefault="00E44A0C">
      <w:pPr>
        <w:pStyle w:val="BodyText21"/>
        <w:tabs>
          <w:tab w:val="left" w:pos="142"/>
        </w:tabs>
        <w:overflowPunct/>
        <w:autoSpaceDE/>
        <w:autoSpaceDN/>
        <w:adjustRightInd/>
        <w:ind w:left="0"/>
        <w:textAlignment w:val="auto"/>
        <w:rPr>
          <w:rFonts w:ascii="Arial" w:hAnsi="Arial" w:cs="Arial"/>
          <w:b/>
          <w:bCs/>
          <w:lang w:eastAsia="en-US"/>
        </w:rPr>
      </w:pPr>
      <w:r w:rsidRPr="00FF7228">
        <w:rPr>
          <w:rFonts w:ascii="Arial" w:hAnsi="Arial" w:cs="Arial"/>
          <w:b/>
          <w:bCs/>
          <w:szCs w:val="17"/>
        </w:rPr>
        <w:t>15.1</w:t>
      </w:r>
      <w:r w:rsidRPr="00FF7228">
        <w:rPr>
          <w:rFonts w:ascii="Arial" w:hAnsi="Arial" w:cs="Arial"/>
          <w:b/>
          <w:bCs/>
          <w:szCs w:val="17"/>
        </w:rPr>
        <w:tab/>
        <w:t>Nařízení týkající se bezpečnosti, zdraví a životního prostředí/specifické právní předpisy týkající se látky nebo směsi</w:t>
      </w:r>
    </w:p>
    <w:p w14:paraId="59B196AA" w14:textId="77777777" w:rsidR="00E44A0C" w:rsidRPr="00FF7228" w:rsidRDefault="00E44A0C">
      <w:pPr>
        <w:pStyle w:val="CM4"/>
        <w:spacing w:before="0" w:after="0"/>
        <w:jc w:val="both"/>
        <w:rPr>
          <w:rFonts w:ascii="Times New Roman" w:hAnsi="Times New Roman"/>
        </w:rPr>
      </w:pPr>
      <w:r w:rsidRPr="00FF7228">
        <w:rPr>
          <w:rFonts w:ascii="Times New Roman" w:hAnsi="Times New Roman"/>
        </w:rPr>
        <w:t>Nařízení Evropského parlamentu a Rady (ES) č. 1907/2006 o registraci, hodnocení, povolování a omezování chemických látek (REACH)</w:t>
      </w:r>
      <w:r w:rsidR="00F20A34" w:rsidRPr="00FF7228">
        <w:rPr>
          <w:rFonts w:ascii="Times New Roman" w:hAnsi="Times New Roman"/>
        </w:rPr>
        <w:t>, v platném znění</w:t>
      </w:r>
    </w:p>
    <w:p w14:paraId="0CEDDA5E" w14:textId="77777777" w:rsidR="00E44A0C" w:rsidRPr="00FF7228" w:rsidRDefault="00E44A0C">
      <w:pPr>
        <w:overflowPunct/>
        <w:ind w:left="0"/>
        <w:jc w:val="both"/>
        <w:textAlignment w:val="auto"/>
        <w:rPr>
          <w:szCs w:val="19"/>
        </w:rPr>
      </w:pPr>
      <w:r w:rsidRPr="00FF7228">
        <w:rPr>
          <w:szCs w:val="24"/>
        </w:rPr>
        <w:t xml:space="preserve">Nařízení Evropského parlamentu a Rady (ES) č. 1272/2008 </w:t>
      </w:r>
      <w:r w:rsidRPr="00FF7228">
        <w:rPr>
          <w:szCs w:val="19"/>
        </w:rPr>
        <w:t>o klasifikaci, označování a balení látek a směsí (CLP)</w:t>
      </w:r>
      <w:r w:rsidR="00F20A34" w:rsidRPr="00FF7228">
        <w:rPr>
          <w:szCs w:val="19"/>
        </w:rPr>
        <w:t>, v platném znění</w:t>
      </w:r>
    </w:p>
    <w:p w14:paraId="1BDEFD20" w14:textId="77777777" w:rsidR="00014420" w:rsidRDefault="00014420" w:rsidP="00014420">
      <w:pPr>
        <w:overflowPunct/>
        <w:ind w:left="0"/>
        <w:jc w:val="both"/>
        <w:textAlignment w:val="auto"/>
        <w:rPr>
          <w:bCs/>
        </w:rPr>
      </w:pPr>
      <w:r>
        <w:t xml:space="preserve">Nařízení Evropského parlamentu a Rady (ES) </w:t>
      </w:r>
      <w:r>
        <w:rPr>
          <w:bCs/>
        </w:rPr>
        <w:t>č. 648/2004 o detergentech, v platném znění</w:t>
      </w:r>
    </w:p>
    <w:p w14:paraId="54A17836" w14:textId="77777777" w:rsidR="00382CD2" w:rsidRPr="00FF7228" w:rsidRDefault="00E44A0C" w:rsidP="00382CD2">
      <w:pPr>
        <w:overflowPunct/>
        <w:ind w:left="0"/>
        <w:jc w:val="both"/>
        <w:textAlignment w:val="auto"/>
        <w:rPr>
          <w:szCs w:val="24"/>
        </w:rPr>
      </w:pPr>
      <w:r w:rsidRPr="00FF7228">
        <w:rPr>
          <w:szCs w:val="24"/>
        </w:rPr>
        <w:t>Zákon č. 35</w:t>
      </w:r>
      <w:r w:rsidR="00F20A34" w:rsidRPr="00FF7228">
        <w:rPr>
          <w:szCs w:val="24"/>
        </w:rPr>
        <w:t>0</w:t>
      </w:r>
      <w:r w:rsidRPr="00FF7228">
        <w:rPr>
          <w:szCs w:val="24"/>
        </w:rPr>
        <w:t>/20</w:t>
      </w:r>
      <w:r w:rsidR="00F20A34" w:rsidRPr="00FF7228">
        <w:rPr>
          <w:szCs w:val="24"/>
        </w:rPr>
        <w:t>11</w:t>
      </w:r>
      <w:r w:rsidRPr="00FF7228">
        <w:rPr>
          <w:szCs w:val="24"/>
        </w:rPr>
        <w:t xml:space="preserve"> Sb.</w:t>
      </w:r>
      <w:r w:rsidR="009635FB" w:rsidRPr="00FF7228">
        <w:rPr>
          <w:szCs w:val="24"/>
        </w:rPr>
        <w:t>,</w:t>
      </w:r>
      <w:r w:rsidRPr="00FF7228">
        <w:rPr>
          <w:szCs w:val="24"/>
        </w:rPr>
        <w:t xml:space="preserve"> </w:t>
      </w:r>
      <w:r w:rsidR="001F2085" w:rsidRPr="00FF7228">
        <w:rPr>
          <w:szCs w:val="24"/>
        </w:rPr>
        <w:t xml:space="preserve">o chemických látkách a chemických </w:t>
      </w:r>
      <w:r w:rsidR="00F20A34" w:rsidRPr="00FF7228">
        <w:rPr>
          <w:szCs w:val="24"/>
        </w:rPr>
        <w:t>směsích vč. prová</w:t>
      </w:r>
      <w:r w:rsidRPr="00FF7228">
        <w:rPr>
          <w:szCs w:val="24"/>
        </w:rPr>
        <w:t>děcích předpisů</w:t>
      </w:r>
    </w:p>
    <w:p w14:paraId="518D8350" w14:textId="77777777" w:rsidR="00382CD2" w:rsidRPr="00FF7228" w:rsidRDefault="00E44A0C" w:rsidP="00382CD2">
      <w:pPr>
        <w:overflowPunct/>
        <w:ind w:left="0"/>
        <w:jc w:val="both"/>
        <w:textAlignment w:val="auto"/>
      </w:pPr>
      <w:r w:rsidRPr="00FF7228">
        <w:t>Zákon č. 258/2000 Sb.</w:t>
      </w:r>
      <w:r w:rsidR="009635FB" w:rsidRPr="00FF7228">
        <w:t>,</w:t>
      </w:r>
      <w:r w:rsidRPr="00FF7228">
        <w:t xml:space="preserve"> o ochraně veřejného zdraví, ve znění pozdějších předpisů</w:t>
      </w:r>
    </w:p>
    <w:p w14:paraId="3CF369C8" w14:textId="77777777" w:rsidR="00382CD2" w:rsidRPr="00FF7228" w:rsidRDefault="00E44A0C" w:rsidP="00382CD2">
      <w:pPr>
        <w:overflowPunct/>
        <w:ind w:left="0"/>
        <w:jc w:val="both"/>
        <w:textAlignment w:val="auto"/>
      </w:pPr>
      <w:r w:rsidRPr="00FF7228">
        <w:lastRenderedPageBreak/>
        <w:t>Zákon č. 262/2006 Sb., zákoník práce, ve znění pozdějších předpisů</w:t>
      </w:r>
    </w:p>
    <w:p w14:paraId="612DEFB3" w14:textId="77777777" w:rsidR="00382CD2" w:rsidRPr="00FF7228" w:rsidRDefault="00E44A0C" w:rsidP="00382CD2">
      <w:pPr>
        <w:overflowPunct/>
        <w:ind w:left="0"/>
        <w:jc w:val="both"/>
        <w:textAlignment w:val="auto"/>
        <w:rPr>
          <w:b/>
        </w:rPr>
      </w:pPr>
      <w:r w:rsidRPr="00FF7228">
        <w:t xml:space="preserve">Zákon č. </w:t>
      </w:r>
      <w:r w:rsidR="00995065" w:rsidRPr="00FF7228">
        <w:t>201/2012</w:t>
      </w:r>
      <w:r w:rsidRPr="00FF7228">
        <w:t xml:space="preserve"> Sb.</w:t>
      </w:r>
      <w:r w:rsidR="009635FB" w:rsidRPr="00FF7228">
        <w:t>,</w:t>
      </w:r>
      <w:r w:rsidRPr="00FF7228">
        <w:t xml:space="preserve"> o ochraně ovzduší</w:t>
      </w:r>
    </w:p>
    <w:p w14:paraId="3A51A242" w14:textId="77777777" w:rsidR="00382CD2" w:rsidRPr="00FF7228" w:rsidRDefault="00E44A0C" w:rsidP="00382CD2">
      <w:pPr>
        <w:overflowPunct/>
        <w:ind w:left="0"/>
        <w:jc w:val="both"/>
        <w:textAlignment w:val="auto"/>
      </w:pPr>
      <w:r w:rsidRPr="00FF7228">
        <w:rPr>
          <w:bCs/>
          <w:szCs w:val="24"/>
        </w:rPr>
        <w:t>Zákon č. 254/2001 Sb.</w:t>
      </w:r>
      <w:r w:rsidR="009635FB" w:rsidRPr="00FF7228">
        <w:rPr>
          <w:bCs/>
          <w:szCs w:val="24"/>
        </w:rPr>
        <w:t>,</w:t>
      </w:r>
      <w:r w:rsidRPr="00FF7228">
        <w:rPr>
          <w:bCs/>
          <w:szCs w:val="24"/>
        </w:rPr>
        <w:t xml:space="preserve"> o vodách</w:t>
      </w:r>
      <w:r w:rsidRPr="00FF7228">
        <w:t>, ve znění pozdějších předpisů</w:t>
      </w:r>
    </w:p>
    <w:p w14:paraId="68CA9DF5" w14:textId="77777777" w:rsidR="00382CD2" w:rsidRPr="00FF7228" w:rsidRDefault="00E44A0C" w:rsidP="00382CD2">
      <w:pPr>
        <w:overflowPunct/>
        <w:ind w:left="0"/>
        <w:jc w:val="both"/>
        <w:textAlignment w:val="auto"/>
      </w:pPr>
      <w:r w:rsidRPr="00FF7228">
        <w:t>Nařízení vlády ČR č. 361/2007 Sb., kterým se stanoví podmínky ochrany zdraví zaměstnanců při práci</w:t>
      </w:r>
    </w:p>
    <w:p w14:paraId="401AB3FE" w14:textId="77777777" w:rsidR="00E44A0C" w:rsidRPr="00FF7228" w:rsidRDefault="00E44A0C">
      <w:pPr>
        <w:tabs>
          <w:tab w:val="left" w:pos="567"/>
        </w:tabs>
        <w:spacing w:before="120"/>
        <w:ind w:left="0"/>
        <w:jc w:val="both"/>
        <w:rPr>
          <w:rFonts w:ascii="Arial" w:hAnsi="Arial" w:cs="Arial"/>
          <w:b/>
          <w:bCs/>
        </w:rPr>
      </w:pPr>
      <w:r w:rsidRPr="00FF7228">
        <w:rPr>
          <w:rFonts w:ascii="Arial" w:hAnsi="Arial"/>
          <w:b/>
        </w:rPr>
        <w:t>15.2</w:t>
      </w:r>
      <w:r w:rsidRPr="00FF7228">
        <w:rPr>
          <w:rFonts w:ascii="Arial" w:hAnsi="Arial"/>
          <w:b/>
        </w:rPr>
        <w:tab/>
        <w:t>Posouzení chemické bezpečnosti</w:t>
      </w:r>
      <w:r w:rsidRPr="00FF7228">
        <w:rPr>
          <w:rFonts w:ascii="Arial" w:hAnsi="Arial" w:cs="Arial"/>
          <w:b/>
          <w:bCs/>
        </w:rPr>
        <w:t xml:space="preserve"> </w:t>
      </w:r>
    </w:p>
    <w:p w14:paraId="5B77F801" w14:textId="77777777" w:rsidR="00E44A0C" w:rsidRPr="00FF7228" w:rsidRDefault="007655E7">
      <w:pPr>
        <w:ind w:left="0"/>
        <w:jc w:val="both"/>
      </w:pPr>
      <w:r w:rsidRPr="00FF7228">
        <w:t>N</w:t>
      </w:r>
      <w:r w:rsidR="00E44A0C" w:rsidRPr="00FF7228">
        <w:t>ebylo provedeno posouzení chemické bezpečnosti.</w:t>
      </w:r>
    </w:p>
    <w:p w14:paraId="24722B50" w14:textId="77777777" w:rsidR="00E44A0C" w:rsidRPr="00FF7228" w:rsidRDefault="00E44A0C">
      <w:pPr>
        <w:pStyle w:val="Nadpis1"/>
        <w:numPr>
          <w:ilvl w:val="0"/>
          <w:numId w:val="0"/>
        </w:numPr>
        <w:pBdr>
          <w:top w:val="single" w:sz="6" w:space="1" w:color="auto"/>
          <w:bottom w:val="single" w:sz="6" w:space="1" w:color="auto"/>
        </w:pBdr>
        <w:jc w:val="both"/>
      </w:pPr>
      <w:r w:rsidRPr="00FF7228">
        <w:t xml:space="preserve">ODDÍL 16: </w:t>
      </w:r>
      <w:r w:rsidRPr="00FF7228">
        <w:rPr>
          <w:caps w:val="0"/>
        </w:rPr>
        <w:t xml:space="preserve">Další informace </w:t>
      </w:r>
    </w:p>
    <w:p w14:paraId="4AF45396" w14:textId="77777777" w:rsidR="00E44A0C" w:rsidRPr="00FF7228" w:rsidRDefault="00E44A0C">
      <w:pPr>
        <w:spacing w:before="120"/>
        <w:ind w:left="0"/>
        <w:rPr>
          <w:rFonts w:ascii="Arial" w:hAnsi="Arial"/>
          <w:b/>
        </w:rPr>
      </w:pPr>
      <w:r w:rsidRPr="00FF7228">
        <w:rPr>
          <w:rFonts w:ascii="Arial" w:hAnsi="Arial"/>
          <w:b/>
        </w:rPr>
        <w:t xml:space="preserve">Změny bezpečnostního listu </w:t>
      </w:r>
    </w:p>
    <w:p w14:paraId="1A376BD3" w14:textId="77777777" w:rsidR="00E44A0C" w:rsidRPr="00FF7228" w:rsidRDefault="00E44A0C">
      <w:pPr>
        <w:ind w:left="0"/>
        <w:jc w:val="both"/>
        <w:rPr>
          <w:bCs/>
        </w:rPr>
      </w:pPr>
      <w:r w:rsidRPr="00FF7228">
        <w:rPr>
          <w:bCs/>
        </w:rPr>
        <w:t>Historie revizí: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66"/>
        <w:gridCol w:w="6977"/>
      </w:tblGrid>
      <w:tr w:rsidR="00E44A0C" w:rsidRPr="00FF7228" w14:paraId="0B510CB7" w14:textId="77777777">
        <w:tc>
          <w:tcPr>
            <w:tcW w:w="709" w:type="dxa"/>
          </w:tcPr>
          <w:p w14:paraId="5B303852" w14:textId="77777777" w:rsidR="00E44A0C" w:rsidRPr="00FF7228" w:rsidRDefault="00E44A0C">
            <w:pPr>
              <w:pStyle w:val="Nadpis2"/>
              <w:numPr>
                <w:ilvl w:val="0"/>
                <w:numId w:val="0"/>
              </w:numPr>
              <w:spacing w:before="0"/>
              <w:jc w:val="center"/>
              <w:rPr>
                <w:rFonts w:ascii="Times New Roman" w:hAnsi="Times New Roman"/>
                <w:b w:val="0"/>
              </w:rPr>
            </w:pPr>
            <w:r w:rsidRPr="00FF7228">
              <w:rPr>
                <w:rFonts w:ascii="Times New Roman" w:hAnsi="Times New Roman"/>
                <w:b w:val="0"/>
              </w:rPr>
              <w:t>Verze</w:t>
            </w:r>
          </w:p>
        </w:tc>
        <w:tc>
          <w:tcPr>
            <w:tcW w:w="1276" w:type="dxa"/>
          </w:tcPr>
          <w:p w14:paraId="63ED843E" w14:textId="77777777" w:rsidR="00E44A0C" w:rsidRPr="00FF7228" w:rsidRDefault="00E44A0C">
            <w:pPr>
              <w:pStyle w:val="Nadpis2"/>
              <w:numPr>
                <w:ilvl w:val="0"/>
                <w:numId w:val="0"/>
              </w:numPr>
              <w:spacing w:before="0"/>
              <w:jc w:val="center"/>
              <w:rPr>
                <w:rFonts w:ascii="Times New Roman" w:hAnsi="Times New Roman"/>
                <w:b w:val="0"/>
              </w:rPr>
            </w:pPr>
            <w:r w:rsidRPr="00FF7228">
              <w:rPr>
                <w:rFonts w:ascii="Times New Roman" w:hAnsi="Times New Roman"/>
                <w:b w:val="0"/>
              </w:rPr>
              <w:t>Datum</w:t>
            </w:r>
          </w:p>
        </w:tc>
        <w:tc>
          <w:tcPr>
            <w:tcW w:w="7087" w:type="dxa"/>
          </w:tcPr>
          <w:p w14:paraId="29F7324A" w14:textId="77777777" w:rsidR="00E44A0C" w:rsidRPr="00FF7228" w:rsidRDefault="00E44A0C">
            <w:pPr>
              <w:pStyle w:val="Nadpis2"/>
              <w:numPr>
                <w:ilvl w:val="0"/>
                <w:numId w:val="0"/>
              </w:numPr>
              <w:spacing w:before="0"/>
              <w:jc w:val="both"/>
              <w:rPr>
                <w:rFonts w:ascii="Times New Roman" w:hAnsi="Times New Roman"/>
                <w:b w:val="0"/>
              </w:rPr>
            </w:pPr>
            <w:r w:rsidRPr="00FF7228">
              <w:rPr>
                <w:rFonts w:ascii="Times New Roman" w:hAnsi="Times New Roman"/>
                <w:b w:val="0"/>
              </w:rPr>
              <w:t xml:space="preserve">Změny </w:t>
            </w:r>
          </w:p>
        </w:tc>
      </w:tr>
      <w:tr w:rsidR="00E44A0C" w:rsidRPr="00FF7228" w14:paraId="336E3CBB" w14:textId="77777777">
        <w:tc>
          <w:tcPr>
            <w:tcW w:w="709" w:type="dxa"/>
          </w:tcPr>
          <w:p w14:paraId="3F617510" w14:textId="77777777" w:rsidR="00E44A0C" w:rsidRPr="00FF7228" w:rsidRDefault="00BD288A" w:rsidP="00BD288A">
            <w:pPr>
              <w:pStyle w:val="Nadpis2"/>
              <w:numPr>
                <w:ilvl w:val="0"/>
                <w:numId w:val="0"/>
              </w:numPr>
              <w:spacing w:before="0"/>
              <w:jc w:val="center"/>
              <w:rPr>
                <w:rFonts w:ascii="Times New Roman" w:hAnsi="Times New Roman"/>
                <w:b w:val="0"/>
              </w:rPr>
            </w:pPr>
            <w:r w:rsidRPr="00FF7228">
              <w:rPr>
                <w:rFonts w:ascii="Times New Roman" w:hAnsi="Times New Roman"/>
                <w:b w:val="0"/>
              </w:rPr>
              <w:t>0</w:t>
            </w:r>
            <w:r w:rsidR="00E44A0C" w:rsidRPr="00FF7228">
              <w:rPr>
                <w:rFonts w:ascii="Times New Roman" w:hAnsi="Times New Roman"/>
                <w:b w:val="0"/>
              </w:rPr>
              <w:t>.0</w:t>
            </w:r>
          </w:p>
        </w:tc>
        <w:tc>
          <w:tcPr>
            <w:tcW w:w="1276" w:type="dxa"/>
          </w:tcPr>
          <w:p w14:paraId="18D4C394" w14:textId="77777777" w:rsidR="00E44A0C" w:rsidRPr="00FF7228" w:rsidRDefault="009E222B">
            <w:pPr>
              <w:pStyle w:val="Nadpis2"/>
              <w:numPr>
                <w:ilvl w:val="0"/>
                <w:numId w:val="0"/>
              </w:numPr>
              <w:spacing w:before="0"/>
              <w:jc w:val="center"/>
              <w:rPr>
                <w:rFonts w:ascii="Times New Roman" w:hAnsi="Times New Roman"/>
                <w:b w:val="0"/>
              </w:rPr>
            </w:pPr>
            <w:r w:rsidRPr="00FF7228">
              <w:rPr>
                <w:rFonts w:ascii="Times New Roman" w:hAnsi="Times New Roman"/>
                <w:b w:val="0"/>
              </w:rPr>
              <w:t>20. 1. 2012</w:t>
            </w:r>
          </w:p>
        </w:tc>
        <w:tc>
          <w:tcPr>
            <w:tcW w:w="7087" w:type="dxa"/>
          </w:tcPr>
          <w:p w14:paraId="355FB34C" w14:textId="77777777" w:rsidR="00E44A0C" w:rsidRPr="00FF7228" w:rsidRDefault="00E44A0C">
            <w:pPr>
              <w:pStyle w:val="Nadpis2"/>
              <w:numPr>
                <w:ilvl w:val="0"/>
                <w:numId w:val="0"/>
              </w:numPr>
              <w:spacing w:before="0"/>
              <w:jc w:val="both"/>
              <w:rPr>
                <w:rFonts w:ascii="Times New Roman" w:hAnsi="Times New Roman"/>
                <w:b w:val="0"/>
              </w:rPr>
            </w:pPr>
            <w:r w:rsidRPr="00FF7228">
              <w:rPr>
                <w:rFonts w:ascii="Times New Roman" w:hAnsi="Times New Roman"/>
                <w:b w:val="0"/>
              </w:rPr>
              <w:t xml:space="preserve">První vydání podle nařízení </w:t>
            </w:r>
            <w:r w:rsidRPr="00FF7228">
              <w:rPr>
                <w:rFonts w:ascii="Times New Roman" w:hAnsi="Times New Roman"/>
                <w:b w:val="0"/>
                <w:szCs w:val="24"/>
              </w:rPr>
              <w:t>Evropského parlamentu a Rady (ES) č.</w:t>
            </w:r>
            <w:r w:rsidRPr="00FF7228">
              <w:rPr>
                <w:rFonts w:ascii="Times New Roman" w:hAnsi="Times New Roman"/>
                <w:b w:val="0"/>
              </w:rPr>
              <w:t> </w:t>
            </w:r>
            <w:r w:rsidRPr="00FF7228">
              <w:rPr>
                <w:rFonts w:ascii="Times New Roman" w:hAnsi="Times New Roman"/>
                <w:b w:val="0"/>
                <w:szCs w:val="24"/>
              </w:rPr>
              <w:t>1907/2006</w:t>
            </w:r>
          </w:p>
        </w:tc>
      </w:tr>
      <w:tr w:rsidR="00E44A0C" w:rsidRPr="00FF7228" w14:paraId="600DCE94" w14:textId="77777777">
        <w:tc>
          <w:tcPr>
            <w:tcW w:w="709" w:type="dxa"/>
          </w:tcPr>
          <w:p w14:paraId="271CAEC6" w14:textId="77777777" w:rsidR="00E44A0C" w:rsidRPr="00FF7228" w:rsidRDefault="00BD288A" w:rsidP="00BD288A">
            <w:pPr>
              <w:pStyle w:val="Nadpis2"/>
              <w:numPr>
                <w:ilvl w:val="0"/>
                <w:numId w:val="0"/>
              </w:numPr>
              <w:spacing w:before="0"/>
              <w:jc w:val="center"/>
              <w:rPr>
                <w:rFonts w:ascii="Times New Roman" w:hAnsi="Times New Roman"/>
                <w:b w:val="0"/>
              </w:rPr>
            </w:pPr>
            <w:r w:rsidRPr="00FF7228">
              <w:rPr>
                <w:rFonts w:ascii="Times New Roman" w:hAnsi="Times New Roman"/>
                <w:b w:val="0"/>
              </w:rPr>
              <w:t>1</w:t>
            </w:r>
            <w:r w:rsidR="00E44A0C" w:rsidRPr="00FF7228">
              <w:rPr>
                <w:rFonts w:ascii="Times New Roman" w:hAnsi="Times New Roman"/>
                <w:b w:val="0"/>
              </w:rPr>
              <w:t>.0</w:t>
            </w:r>
          </w:p>
        </w:tc>
        <w:tc>
          <w:tcPr>
            <w:tcW w:w="1276" w:type="dxa"/>
          </w:tcPr>
          <w:p w14:paraId="1269976E" w14:textId="77777777" w:rsidR="00E44A0C" w:rsidRPr="00FF7228" w:rsidRDefault="009E222B">
            <w:pPr>
              <w:pStyle w:val="Nadpis2"/>
              <w:numPr>
                <w:ilvl w:val="0"/>
                <w:numId w:val="0"/>
              </w:numPr>
              <w:spacing w:before="0"/>
              <w:jc w:val="center"/>
              <w:rPr>
                <w:rFonts w:ascii="Times New Roman" w:hAnsi="Times New Roman"/>
                <w:b w:val="0"/>
              </w:rPr>
            </w:pPr>
            <w:r w:rsidRPr="00FF7228">
              <w:rPr>
                <w:rFonts w:ascii="Times New Roman" w:hAnsi="Times New Roman"/>
                <w:b w:val="0"/>
              </w:rPr>
              <w:t>18. 11. 2014</w:t>
            </w:r>
          </w:p>
        </w:tc>
        <w:tc>
          <w:tcPr>
            <w:tcW w:w="7087" w:type="dxa"/>
          </w:tcPr>
          <w:p w14:paraId="77E324F5" w14:textId="77777777" w:rsidR="00E44A0C" w:rsidRPr="00FF7228" w:rsidRDefault="00E44A0C" w:rsidP="009E222B">
            <w:pPr>
              <w:pStyle w:val="Nadpis2"/>
              <w:numPr>
                <w:ilvl w:val="0"/>
                <w:numId w:val="0"/>
              </w:numPr>
              <w:spacing w:before="0"/>
              <w:jc w:val="both"/>
              <w:rPr>
                <w:rFonts w:ascii="Times New Roman" w:hAnsi="Times New Roman"/>
                <w:b w:val="0"/>
              </w:rPr>
            </w:pPr>
            <w:r w:rsidRPr="00FF7228">
              <w:rPr>
                <w:rFonts w:ascii="Times New Roman" w:hAnsi="Times New Roman"/>
                <w:b w:val="0"/>
              </w:rPr>
              <w:t>Celková revize všech oddílů bezpečnostního listu podle nařízení Evropského parlamentu a Rady (ES) č. 453/2010</w:t>
            </w:r>
          </w:p>
        </w:tc>
      </w:tr>
      <w:tr w:rsidR="009E222B" w:rsidRPr="00FF7228" w14:paraId="3BBF63A6" w14:textId="77777777">
        <w:tc>
          <w:tcPr>
            <w:tcW w:w="709" w:type="dxa"/>
          </w:tcPr>
          <w:p w14:paraId="0CBADC1C" w14:textId="77777777" w:rsidR="009E222B" w:rsidRPr="00FF7228" w:rsidRDefault="009E222B" w:rsidP="00BD288A">
            <w:pPr>
              <w:pStyle w:val="Nadpis2"/>
              <w:numPr>
                <w:ilvl w:val="0"/>
                <w:numId w:val="0"/>
              </w:numPr>
              <w:spacing w:before="0"/>
              <w:jc w:val="center"/>
              <w:rPr>
                <w:rFonts w:ascii="Times New Roman" w:hAnsi="Times New Roman"/>
                <w:b w:val="0"/>
              </w:rPr>
            </w:pPr>
            <w:r w:rsidRPr="00FF7228">
              <w:rPr>
                <w:rFonts w:ascii="Times New Roman" w:hAnsi="Times New Roman"/>
                <w:b w:val="0"/>
              </w:rPr>
              <w:t>2.0</w:t>
            </w:r>
          </w:p>
        </w:tc>
        <w:tc>
          <w:tcPr>
            <w:tcW w:w="1276" w:type="dxa"/>
          </w:tcPr>
          <w:p w14:paraId="779AD790" w14:textId="77777777" w:rsidR="009E222B" w:rsidRPr="00FF7228" w:rsidRDefault="00DE3BCD" w:rsidP="00DE3BCD">
            <w:pPr>
              <w:pStyle w:val="Nadpis2"/>
              <w:numPr>
                <w:ilvl w:val="0"/>
                <w:numId w:val="0"/>
              </w:numPr>
              <w:spacing w:before="0"/>
              <w:jc w:val="center"/>
              <w:rPr>
                <w:rFonts w:ascii="Times New Roman" w:hAnsi="Times New Roman"/>
                <w:b w:val="0"/>
              </w:rPr>
            </w:pPr>
            <w:r>
              <w:rPr>
                <w:rFonts w:ascii="Times New Roman" w:hAnsi="Times New Roman"/>
                <w:b w:val="0"/>
              </w:rPr>
              <w:t xml:space="preserve">23. 8. </w:t>
            </w:r>
            <w:r w:rsidR="009E222B" w:rsidRPr="00FF7228">
              <w:rPr>
                <w:rFonts w:ascii="Times New Roman" w:hAnsi="Times New Roman"/>
                <w:b w:val="0"/>
              </w:rPr>
              <w:t>2015</w:t>
            </w:r>
          </w:p>
        </w:tc>
        <w:tc>
          <w:tcPr>
            <w:tcW w:w="7087" w:type="dxa"/>
          </w:tcPr>
          <w:p w14:paraId="0A4CB4C3" w14:textId="77777777" w:rsidR="009E222B" w:rsidRPr="00FF7228" w:rsidRDefault="009E222B">
            <w:pPr>
              <w:pStyle w:val="Nadpis2"/>
              <w:numPr>
                <w:ilvl w:val="0"/>
                <w:numId w:val="0"/>
              </w:numPr>
              <w:spacing w:before="0"/>
              <w:jc w:val="both"/>
              <w:rPr>
                <w:rFonts w:ascii="Times New Roman" w:hAnsi="Times New Roman"/>
                <w:b w:val="0"/>
              </w:rPr>
            </w:pPr>
            <w:r w:rsidRPr="00FF7228">
              <w:rPr>
                <w:rFonts w:ascii="Times New Roman" w:hAnsi="Times New Roman"/>
                <w:b w:val="0"/>
              </w:rPr>
              <w:t>Změna oddíl 2, 3, 11, 16 – doplněna klasifikace a označení podle nařízení Evropského parlamentu a Rady (ES) č. 1272/2008</w:t>
            </w:r>
          </w:p>
        </w:tc>
      </w:tr>
    </w:tbl>
    <w:p w14:paraId="385EA3BB" w14:textId="77777777" w:rsidR="00E44A0C" w:rsidRPr="00FF7228" w:rsidRDefault="00E44A0C">
      <w:pPr>
        <w:pStyle w:val="Nadpis2"/>
        <w:numPr>
          <w:ilvl w:val="0"/>
          <w:numId w:val="0"/>
        </w:numPr>
        <w:jc w:val="both"/>
      </w:pPr>
      <w:r w:rsidRPr="00FF7228">
        <w:t>Legenda ke zkratkám a zkratkovým slovům</w:t>
      </w:r>
    </w:p>
    <w:p w14:paraId="21BC2144"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 xml:space="preserve">CAS </w:t>
      </w:r>
      <w:r w:rsidRPr="00FF7228">
        <w:rPr>
          <w:rFonts w:ascii="Times New Roman" w:hAnsi="Times New Roman"/>
          <w:sz w:val="20"/>
          <w:szCs w:val="20"/>
        </w:rPr>
        <w:tab/>
      </w:r>
      <w:proofErr w:type="spellStart"/>
      <w:r w:rsidRPr="00FF7228">
        <w:rPr>
          <w:rFonts w:ascii="Times New Roman" w:hAnsi="Times New Roman"/>
          <w:sz w:val="20"/>
          <w:szCs w:val="20"/>
        </w:rPr>
        <w:t>Chemical</w:t>
      </w:r>
      <w:proofErr w:type="spellEnd"/>
      <w:r w:rsidRPr="00FF7228">
        <w:rPr>
          <w:rFonts w:ascii="Times New Roman" w:hAnsi="Times New Roman"/>
          <w:sz w:val="20"/>
          <w:szCs w:val="20"/>
        </w:rPr>
        <w:t xml:space="preserve"> </w:t>
      </w:r>
      <w:proofErr w:type="spellStart"/>
      <w:r w:rsidRPr="00FF7228">
        <w:rPr>
          <w:rFonts w:ascii="Times New Roman" w:hAnsi="Times New Roman"/>
          <w:sz w:val="20"/>
          <w:szCs w:val="20"/>
        </w:rPr>
        <w:t>Abstract</w:t>
      </w:r>
      <w:proofErr w:type="spellEnd"/>
      <w:r w:rsidRPr="00FF7228">
        <w:rPr>
          <w:rFonts w:ascii="Times New Roman" w:hAnsi="Times New Roman"/>
          <w:sz w:val="20"/>
          <w:szCs w:val="20"/>
        </w:rPr>
        <w:t xml:space="preserve"> </w:t>
      </w:r>
      <w:proofErr w:type="spellStart"/>
      <w:r w:rsidRPr="00FF7228">
        <w:rPr>
          <w:rFonts w:ascii="Times New Roman" w:hAnsi="Times New Roman"/>
          <w:sz w:val="20"/>
          <w:szCs w:val="20"/>
        </w:rPr>
        <w:t>Service</w:t>
      </w:r>
      <w:proofErr w:type="spellEnd"/>
      <w:r w:rsidRPr="00FF7228">
        <w:rPr>
          <w:rFonts w:ascii="Times New Roman" w:hAnsi="Times New Roman"/>
          <w:sz w:val="20"/>
          <w:szCs w:val="20"/>
        </w:rPr>
        <w:t xml:space="preserve"> (číselný identifikátor chemických látek - více na www.cas.org)</w:t>
      </w:r>
    </w:p>
    <w:p w14:paraId="4954E97F"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 xml:space="preserve">ES </w:t>
      </w:r>
      <w:r w:rsidRPr="00FF7228">
        <w:rPr>
          <w:rFonts w:ascii="Times New Roman" w:hAnsi="Times New Roman"/>
          <w:sz w:val="20"/>
          <w:szCs w:val="20"/>
        </w:rPr>
        <w:tab/>
        <w:t>číselný identifikátor chemických látek pro seznamy EINECS, ELINCS a NLP</w:t>
      </w:r>
    </w:p>
    <w:p w14:paraId="598E8507"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 xml:space="preserve">PBT </w:t>
      </w:r>
      <w:r w:rsidRPr="00FF7228">
        <w:rPr>
          <w:rFonts w:ascii="Times New Roman" w:hAnsi="Times New Roman"/>
          <w:sz w:val="20"/>
          <w:szCs w:val="20"/>
        </w:rPr>
        <w:tab/>
        <w:t xml:space="preserve">látky perzistentní, </w:t>
      </w:r>
      <w:proofErr w:type="spellStart"/>
      <w:r w:rsidRPr="00FF7228">
        <w:rPr>
          <w:rFonts w:ascii="Times New Roman" w:hAnsi="Times New Roman"/>
          <w:sz w:val="20"/>
          <w:szCs w:val="20"/>
        </w:rPr>
        <w:t>bioakumulativní</w:t>
      </w:r>
      <w:proofErr w:type="spellEnd"/>
      <w:r w:rsidRPr="00FF7228">
        <w:rPr>
          <w:rFonts w:ascii="Times New Roman" w:hAnsi="Times New Roman"/>
          <w:sz w:val="20"/>
          <w:szCs w:val="20"/>
        </w:rPr>
        <w:t xml:space="preserve"> a toxické</w:t>
      </w:r>
    </w:p>
    <w:p w14:paraId="4B9239DB" w14:textId="77777777" w:rsidR="00C62C6D" w:rsidRPr="00FF7228" w:rsidRDefault="00C62C6D" w:rsidP="00C62C6D">
      <w:pPr>
        <w:pStyle w:val="Bezmezer"/>
        <w:tabs>
          <w:tab w:val="left" w:pos="851"/>
          <w:tab w:val="left" w:pos="2694"/>
        </w:tabs>
        <w:jc w:val="both"/>
        <w:rPr>
          <w:rFonts w:ascii="Times New Roman" w:hAnsi="Times New Roman"/>
          <w:sz w:val="20"/>
          <w:szCs w:val="20"/>
        </w:rPr>
      </w:pPr>
      <w:proofErr w:type="spellStart"/>
      <w:r w:rsidRPr="00FF7228">
        <w:rPr>
          <w:rFonts w:ascii="Times New Roman" w:hAnsi="Times New Roman"/>
          <w:sz w:val="20"/>
          <w:szCs w:val="20"/>
        </w:rPr>
        <w:t>vPvB</w:t>
      </w:r>
      <w:proofErr w:type="spellEnd"/>
      <w:r w:rsidRPr="00FF7228">
        <w:rPr>
          <w:rFonts w:ascii="Times New Roman" w:hAnsi="Times New Roman"/>
          <w:sz w:val="20"/>
          <w:szCs w:val="20"/>
        </w:rPr>
        <w:t xml:space="preserve"> </w:t>
      </w:r>
      <w:r w:rsidRPr="00FF7228">
        <w:rPr>
          <w:rFonts w:ascii="Times New Roman" w:hAnsi="Times New Roman"/>
          <w:sz w:val="20"/>
          <w:szCs w:val="20"/>
        </w:rPr>
        <w:tab/>
        <w:t xml:space="preserve">látky vysoce perzistentní a vysoce </w:t>
      </w:r>
      <w:proofErr w:type="spellStart"/>
      <w:r w:rsidRPr="00FF7228">
        <w:rPr>
          <w:rFonts w:ascii="Times New Roman" w:hAnsi="Times New Roman"/>
          <w:sz w:val="20"/>
          <w:szCs w:val="20"/>
        </w:rPr>
        <w:t>bioakumulativní</w:t>
      </w:r>
      <w:proofErr w:type="spellEnd"/>
    </w:p>
    <w:p w14:paraId="43C25801"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 xml:space="preserve">NPK-P </w:t>
      </w:r>
      <w:r w:rsidRPr="00FF7228">
        <w:rPr>
          <w:rFonts w:ascii="Times New Roman" w:hAnsi="Times New Roman"/>
          <w:sz w:val="20"/>
          <w:szCs w:val="20"/>
        </w:rPr>
        <w:tab/>
        <w:t>nejvyšší přípustná koncentrace chemické látky v pracovním prostředí, dlouhodobý (8 hod)</w:t>
      </w:r>
    </w:p>
    <w:p w14:paraId="11B70937"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 xml:space="preserve">PEL </w:t>
      </w:r>
      <w:r w:rsidRPr="00FF7228">
        <w:rPr>
          <w:rFonts w:ascii="Times New Roman" w:hAnsi="Times New Roman"/>
          <w:sz w:val="20"/>
          <w:szCs w:val="20"/>
        </w:rPr>
        <w:tab/>
        <w:t>přípustný expoziční limit chemické látky v pracovním prostředí</w:t>
      </w:r>
    </w:p>
    <w:p w14:paraId="35E93735"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LD</w:t>
      </w:r>
      <w:r w:rsidRPr="00FF7228">
        <w:rPr>
          <w:rFonts w:ascii="Times New Roman" w:hAnsi="Times New Roman"/>
          <w:sz w:val="20"/>
          <w:szCs w:val="20"/>
          <w:vertAlign w:val="subscript"/>
        </w:rPr>
        <w:t>50</w:t>
      </w:r>
      <w:r w:rsidRPr="00FF7228">
        <w:rPr>
          <w:rFonts w:ascii="Times New Roman" w:hAnsi="Times New Roman"/>
          <w:sz w:val="20"/>
          <w:szCs w:val="20"/>
        </w:rPr>
        <w:t xml:space="preserve"> </w:t>
      </w:r>
      <w:r w:rsidRPr="00FF7228">
        <w:rPr>
          <w:rFonts w:ascii="Times New Roman" w:hAnsi="Times New Roman"/>
          <w:sz w:val="20"/>
          <w:szCs w:val="20"/>
        </w:rPr>
        <w:tab/>
        <w:t>hodnota označuje dávku, která způsobí smrt 50 % zvířat po jejím podání</w:t>
      </w:r>
    </w:p>
    <w:p w14:paraId="4EF7B6E2"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LC</w:t>
      </w:r>
      <w:r w:rsidRPr="00FF7228">
        <w:rPr>
          <w:rFonts w:ascii="Times New Roman" w:hAnsi="Times New Roman"/>
          <w:sz w:val="20"/>
          <w:szCs w:val="20"/>
          <w:vertAlign w:val="subscript"/>
        </w:rPr>
        <w:t>50</w:t>
      </w:r>
      <w:r w:rsidRPr="00FF7228">
        <w:rPr>
          <w:rFonts w:ascii="Times New Roman" w:hAnsi="Times New Roman"/>
          <w:sz w:val="20"/>
          <w:szCs w:val="20"/>
        </w:rPr>
        <w:t xml:space="preserve"> </w:t>
      </w:r>
      <w:r w:rsidRPr="00FF7228">
        <w:rPr>
          <w:rFonts w:ascii="Times New Roman" w:hAnsi="Times New Roman"/>
          <w:sz w:val="20"/>
          <w:szCs w:val="20"/>
        </w:rPr>
        <w:tab/>
        <w:t>hodnota označuje koncentraci, která způsobí smrt 50 % zvířat po jejím podání</w:t>
      </w:r>
    </w:p>
    <w:p w14:paraId="102FD2A6"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EC</w:t>
      </w:r>
      <w:r w:rsidRPr="00FF7228">
        <w:rPr>
          <w:rFonts w:ascii="Times New Roman" w:hAnsi="Times New Roman"/>
          <w:sz w:val="20"/>
          <w:szCs w:val="20"/>
          <w:vertAlign w:val="subscript"/>
        </w:rPr>
        <w:t>50</w:t>
      </w:r>
      <w:r w:rsidRPr="00FF7228">
        <w:rPr>
          <w:rFonts w:ascii="Times New Roman" w:hAnsi="Times New Roman"/>
          <w:sz w:val="20"/>
          <w:szCs w:val="20"/>
        </w:rPr>
        <w:t xml:space="preserve"> </w:t>
      </w:r>
      <w:r w:rsidRPr="00FF7228">
        <w:rPr>
          <w:rFonts w:ascii="Times New Roman" w:hAnsi="Times New Roman"/>
          <w:sz w:val="20"/>
          <w:szCs w:val="20"/>
        </w:rPr>
        <w:tab/>
        <w:t xml:space="preserve">koncentrace látky, při které dochází u 50 % zvířat k účinnému působení na organismus </w:t>
      </w:r>
    </w:p>
    <w:p w14:paraId="15B0D5EA" w14:textId="77777777" w:rsidR="00C62C6D" w:rsidRPr="00FF7228" w:rsidRDefault="00C62C6D" w:rsidP="00C62C6D">
      <w:pPr>
        <w:pStyle w:val="Bezmezer"/>
        <w:tabs>
          <w:tab w:val="left" w:pos="851"/>
          <w:tab w:val="left" w:pos="2694"/>
        </w:tabs>
        <w:jc w:val="both"/>
        <w:rPr>
          <w:rFonts w:ascii="Times New Roman" w:hAnsi="Times New Roman"/>
          <w:sz w:val="20"/>
          <w:szCs w:val="20"/>
        </w:rPr>
      </w:pPr>
      <w:r w:rsidRPr="00FF7228">
        <w:rPr>
          <w:rFonts w:ascii="Times New Roman" w:hAnsi="Times New Roman"/>
          <w:sz w:val="20"/>
          <w:szCs w:val="20"/>
        </w:rPr>
        <w:t>IC</w:t>
      </w:r>
      <w:r w:rsidRPr="00FF7228">
        <w:rPr>
          <w:rFonts w:ascii="Times New Roman" w:hAnsi="Times New Roman"/>
          <w:sz w:val="20"/>
          <w:szCs w:val="20"/>
          <w:vertAlign w:val="subscript"/>
        </w:rPr>
        <w:t>50</w:t>
      </w:r>
      <w:r w:rsidRPr="00FF7228">
        <w:rPr>
          <w:rFonts w:ascii="Times New Roman" w:hAnsi="Times New Roman"/>
          <w:sz w:val="20"/>
          <w:szCs w:val="20"/>
        </w:rPr>
        <w:t xml:space="preserve"> </w:t>
      </w:r>
      <w:r w:rsidRPr="00FF7228">
        <w:rPr>
          <w:rFonts w:ascii="Times New Roman" w:hAnsi="Times New Roman"/>
          <w:sz w:val="20"/>
          <w:szCs w:val="20"/>
        </w:rPr>
        <w:tab/>
        <w:t>polovina maximální inhibiční koncentrace, při které dochází k působení na organismus</w:t>
      </w:r>
    </w:p>
    <w:p w14:paraId="3C0B40E8" w14:textId="77777777" w:rsidR="00C62C6D" w:rsidRPr="00FF7228" w:rsidRDefault="00C62C6D" w:rsidP="00C62C6D">
      <w:pPr>
        <w:pStyle w:val="Bezmezer"/>
        <w:tabs>
          <w:tab w:val="left" w:pos="851"/>
        </w:tabs>
        <w:jc w:val="both"/>
        <w:rPr>
          <w:rFonts w:ascii="Times New Roman" w:hAnsi="Times New Roman"/>
          <w:sz w:val="20"/>
          <w:szCs w:val="20"/>
        </w:rPr>
      </w:pPr>
      <w:r w:rsidRPr="00FF7228">
        <w:rPr>
          <w:rFonts w:ascii="Times New Roman" w:hAnsi="Times New Roman"/>
          <w:sz w:val="20"/>
          <w:szCs w:val="20"/>
        </w:rPr>
        <w:t xml:space="preserve">SVHC </w:t>
      </w:r>
      <w:r w:rsidRPr="00FF7228">
        <w:rPr>
          <w:rFonts w:ascii="Times New Roman" w:hAnsi="Times New Roman"/>
          <w:sz w:val="20"/>
          <w:szCs w:val="20"/>
        </w:rPr>
        <w:tab/>
      </w:r>
      <w:proofErr w:type="spellStart"/>
      <w:r w:rsidRPr="00FF7228">
        <w:rPr>
          <w:rFonts w:ascii="Times New Roman" w:hAnsi="Times New Roman"/>
          <w:sz w:val="20"/>
          <w:szCs w:val="20"/>
        </w:rPr>
        <w:t>Substances</w:t>
      </w:r>
      <w:proofErr w:type="spellEnd"/>
      <w:r w:rsidRPr="00FF7228">
        <w:rPr>
          <w:rFonts w:ascii="Times New Roman" w:hAnsi="Times New Roman"/>
          <w:sz w:val="20"/>
          <w:szCs w:val="20"/>
        </w:rPr>
        <w:t xml:space="preserve"> of Very </w:t>
      </w:r>
      <w:proofErr w:type="spellStart"/>
      <w:r w:rsidRPr="00FF7228">
        <w:rPr>
          <w:rFonts w:ascii="Times New Roman" w:hAnsi="Times New Roman"/>
          <w:sz w:val="20"/>
          <w:szCs w:val="20"/>
        </w:rPr>
        <w:t>High</w:t>
      </w:r>
      <w:proofErr w:type="spellEnd"/>
      <w:r w:rsidRPr="00FF7228">
        <w:rPr>
          <w:rFonts w:ascii="Times New Roman" w:hAnsi="Times New Roman"/>
          <w:sz w:val="20"/>
          <w:szCs w:val="20"/>
        </w:rPr>
        <w:t xml:space="preserve"> </w:t>
      </w:r>
      <w:proofErr w:type="spellStart"/>
      <w:r w:rsidRPr="00FF7228">
        <w:rPr>
          <w:rFonts w:ascii="Times New Roman" w:hAnsi="Times New Roman"/>
          <w:sz w:val="20"/>
          <w:szCs w:val="20"/>
        </w:rPr>
        <w:t>Concern</w:t>
      </w:r>
      <w:proofErr w:type="spellEnd"/>
      <w:r w:rsidRPr="00FF7228">
        <w:rPr>
          <w:rFonts w:ascii="Times New Roman" w:hAnsi="Times New Roman"/>
          <w:sz w:val="20"/>
          <w:szCs w:val="20"/>
        </w:rPr>
        <w:t xml:space="preserve"> - látky vzbuzující mimořádné obavy</w:t>
      </w:r>
    </w:p>
    <w:p w14:paraId="16C5E863" w14:textId="77777777" w:rsidR="00E44A0C" w:rsidRPr="00FF7228" w:rsidRDefault="00E44A0C">
      <w:pPr>
        <w:pStyle w:val="Nadpis1"/>
        <w:keepLines/>
        <w:widowControl w:val="0"/>
        <w:numPr>
          <w:ilvl w:val="0"/>
          <w:numId w:val="0"/>
        </w:numPr>
        <w:tabs>
          <w:tab w:val="left" w:pos="851"/>
        </w:tabs>
        <w:spacing w:before="0" w:after="0"/>
        <w:ind w:left="851" w:hanging="851"/>
        <w:rPr>
          <w:rFonts w:ascii="Times New Roman" w:hAnsi="Times New Roman"/>
          <w:b w:val="0"/>
          <w:bCs/>
          <w:caps w:val="0"/>
          <w:sz w:val="20"/>
        </w:rPr>
      </w:pPr>
      <w:r w:rsidRPr="00FF7228">
        <w:rPr>
          <w:rFonts w:ascii="Times New Roman" w:hAnsi="Times New Roman"/>
          <w:b w:val="0"/>
          <w:bCs/>
          <w:caps w:val="0"/>
          <w:sz w:val="20"/>
        </w:rPr>
        <w:t>DNEL</w:t>
      </w:r>
      <w:r w:rsidRPr="00FF7228">
        <w:rPr>
          <w:rFonts w:ascii="Times New Roman" w:hAnsi="Times New Roman"/>
          <w:b w:val="0"/>
          <w:bCs/>
          <w:caps w:val="0"/>
          <w:sz w:val="20"/>
        </w:rPr>
        <w:tab/>
      </w:r>
      <w:proofErr w:type="spellStart"/>
      <w:r w:rsidRPr="00FF7228">
        <w:rPr>
          <w:rFonts w:ascii="Times New Roman" w:hAnsi="Times New Roman"/>
          <w:b w:val="0"/>
          <w:bCs/>
          <w:caps w:val="0"/>
          <w:sz w:val="20"/>
        </w:rPr>
        <w:t>Derived</w:t>
      </w:r>
      <w:proofErr w:type="spellEnd"/>
      <w:r w:rsidRPr="00FF7228">
        <w:rPr>
          <w:rFonts w:ascii="Times New Roman" w:hAnsi="Times New Roman"/>
          <w:b w:val="0"/>
          <w:bCs/>
          <w:caps w:val="0"/>
          <w:sz w:val="20"/>
        </w:rPr>
        <w:t xml:space="preserve"> No </w:t>
      </w:r>
      <w:proofErr w:type="spellStart"/>
      <w:r w:rsidRPr="00FF7228">
        <w:rPr>
          <w:rFonts w:ascii="Times New Roman" w:hAnsi="Times New Roman"/>
          <w:b w:val="0"/>
          <w:bCs/>
          <w:caps w:val="0"/>
          <w:sz w:val="20"/>
        </w:rPr>
        <w:t>Effect</w:t>
      </w:r>
      <w:proofErr w:type="spellEnd"/>
      <w:r w:rsidRPr="00FF7228">
        <w:rPr>
          <w:rFonts w:ascii="Times New Roman" w:hAnsi="Times New Roman"/>
          <w:b w:val="0"/>
          <w:bCs/>
          <w:caps w:val="0"/>
          <w:sz w:val="20"/>
        </w:rPr>
        <w:t xml:space="preserve"> Level (odvozená koncentrace látky, při které nedochází k nepříznivým účinkům)</w:t>
      </w:r>
    </w:p>
    <w:p w14:paraId="4170EB37" w14:textId="77777777" w:rsidR="00E44A0C" w:rsidRPr="00FF7228" w:rsidRDefault="00E44A0C">
      <w:pPr>
        <w:pStyle w:val="Nadpis1"/>
        <w:keepLines/>
        <w:widowControl w:val="0"/>
        <w:numPr>
          <w:ilvl w:val="0"/>
          <w:numId w:val="0"/>
        </w:numPr>
        <w:tabs>
          <w:tab w:val="left" w:pos="851"/>
        </w:tabs>
        <w:spacing w:before="0" w:after="0"/>
        <w:ind w:left="851" w:hanging="851"/>
        <w:rPr>
          <w:rFonts w:ascii="Times New Roman" w:hAnsi="Times New Roman"/>
          <w:b w:val="0"/>
          <w:bCs/>
          <w:caps w:val="0"/>
          <w:sz w:val="20"/>
        </w:rPr>
      </w:pPr>
      <w:r w:rsidRPr="00FF7228">
        <w:rPr>
          <w:rFonts w:ascii="Times New Roman" w:hAnsi="Times New Roman"/>
          <w:b w:val="0"/>
          <w:bCs/>
          <w:caps w:val="0"/>
          <w:sz w:val="20"/>
        </w:rPr>
        <w:t>PNEC</w:t>
      </w:r>
      <w:r w:rsidRPr="00FF7228">
        <w:rPr>
          <w:rFonts w:ascii="Times New Roman" w:hAnsi="Times New Roman"/>
          <w:b w:val="0"/>
          <w:bCs/>
          <w:caps w:val="0"/>
          <w:sz w:val="20"/>
        </w:rPr>
        <w:tab/>
      </w:r>
      <w:proofErr w:type="spellStart"/>
      <w:r w:rsidRPr="00FF7228">
        <w:rPr>
          <w:rFonts w:ascii="Times New Roman" w:hAnsi="Times New Roman"/>
          <w:b w:val="0"/>
          <w:bCs/>
          <w:caps w:val="0"/>
          <w:sz w:val="20"/>
        </w:rPr>
        <w:t>Predicted</w:t>
      </w:r>
      <w:proofErr w:type="spellEnd"/>
      <w:r w:rsidRPr="00FF7228">
        <w:rPr>
          <w:rFonts w:ascii="Times New Roman" w:hAnsi="Times New Roman"/>
          <w:b w:val="0"/>
          <w:bCs/>
          <w:caps w:val="0"/>
          <w:sz w:val="20"/>
        </w:rPr>
        <w:t xml:space="preserve"> No </w:t>
      </w:r>
      <w:proofErr w:type="spellStart"/>
      <w:r w:rsidRPr="00FF7228">
        <w:rPr>
          <w:rFonts w:ascii="Times New Roman" w:hAnsi="Times New Roman"/>
          <w:b w:val="0"/>
          <w:bCs/>
          <w:caps w:val="0"/>
          <w:sz w:val="20"/>
        </w:rPr>
        <w:t>Effect</w:t>
      </w:r>
      <w:proofErr w:type="spellEnd"/>
      <w:r w:rsidRPr="00FF7228">
        <w:rPr>
          <w:rFonts w:ascii="Times New Roman" w:hAnsi="Times New Roman"/>
          <w:b w:val="0"/>
          <w:bCs/>
          <w:caps w:val="0"/>
          <w:sz w:val="20"/>
        </w:rPr>
        <w:t xml:space="preserve"> </w:t>
      </w:r>
      <w:proofErr w:type="spellStart"/>
      <w:r w:rsidRPr="00FF7228">
        <w:rPr>
          <w:rFonts w:ascii="Times New Roman" w:hAnsi="Times New Roman"/>
          <w:b w:val="0"/>
          <w:bCs/>
          <w:caps w:val="0"/>
          <w:sz w:val="20"/>
        </w:rPr>
        <w:t>Concentration</w:t>
      </w:r>
      <w:proofErr w:type="spellEnd"/>
      <w:r w:rsidRPr="00FF7228">
        <w:rPr>
          <w:rFonts w:ascii="Times New Roman" w:hAnsi="Times New Roman"/>
          <w:b w:val="0"/>
          <w:bCs/>
          <w:caps w:val="0"/>
          <w:sz w:val="20"/>
        </w:rPr>
        <w:t xml:space="preserve"> (odhad koncentrace látky, při které nedochází k nepříznivým účinkům)</w:t>
      </w:r>
    </w:p>
    <w:p w14:paraId="23FC813D" w14:textId="77777777" w:rsidR="00BD6EE8" w:rsidRPr="00FF7228" w:rsidRDefault="00BD6EE8" w:rsidP="00BD6EE8">
      <w:pPr>
        <w:pStyle w:val="NormalTab"/>
        <w:overflowPunct/>
        <w:textAlignment w:val="auto"/>
      </w:pPr>
      <w:proofErr w:type="spellStart"/>
      <w:r w:rsidRPr="00FF7228">
        <w:t>Acute</w:t>
      </w:r>
      <w:proofErr w:type="spellEnd"/>
      <w:r w:rsidRPr="00FF7228">
        <w:t xml:space="preserve"> </w:t>
      </w:r>
      <w:proofErr w:type="spellStart"/>
      <w:r w:rsidRPr="00FF7228">
        <w:t>Tox</w:t>
      </w:r>
      <w:proofErr w:type="spellEnd"/>
      <w:r w:rsidRPr="00FF7228">
        <w:t>. 4</w:t>
      </w:r>
      <w:r w:rsidRPr="00FF7228">
        <w:tab/>
      </w:r>
      <w:r w:rsidRPr="00FF7228">
        <w:tab/>
      </w:r>
      <w:r w:rsidRPr="00FF7228">
        <w:rPr>
          <w:szCs w:val="17"/>
        </w:rPr>
        <w:t>Akutní toxicita, kategorie 4, orální</w:t>
      </w:r>
    </w:p>
    <w:p w14:paraId="28F6B5FD" w14:textId="77777777" w:rsidR="00BD6EE8" w:rsidRPr="00FF7228" w:rsidRDefault="00BD6EE8" w:rsidP="00BD6EE8">
      <w:pPr>
        <w:pStyle w:val="NormalTab"/>
        <w:overflowPunct/>
        <w:textAlignment w:val="auto"/>
      </w:pPr>
      <w:r w:rsidRPr="00FF7228">
        <w:t xml:space="preserve">Skin </w:t>
      </w:r>
      <w:proofErr w:type="spellStart"/>
      <w:r w:rsidRPr="00FF7228">
        <w:t>Irrit</w:t>
      </w:r>
      <w:proofErr w:type="spellEnd"/>
      <w:r w:rsidRPr="00FF7228">
        <w:t>. 2</w:t>
      </w:r>
      <w:r w:rsidRPr="00FF7228">
        <w:tab/>
      </w:r>
      <w:r w:rsidRPr="00FF7228">
        <w:tab/>
      </w:r>
      <w:r w:rsidRPr="00FF7228">
        <w:rPr>
          <w:szCs w:val="17"/>
        </w:rPr>
        <w:t>D</w:t>
      </w:r>
      <w:r w:rsidRPr="00FF7228">
        <w:t>ráždivost pro kůži, kategorie 2</w:t>
      </w:r>
    </w:p>
    <w:p w14:paraId="1BB06090" w14:textId="77777777" w:rsidR="00BD6EE8" w:rsidRPr="00FF7228" w:rsidRDefault="00BD6EE8" w:rsidP="00BD6EE8">
      <w:pPr>
        <w:pStyle w:val="NormalTab"/>
        <w:overflowPunct/>
        <w:textAlignment w:val="auto"/>
      </w:pPr>
      <w:proofErr w:type="spellStart"/>
      <w:r w:rsidRPr="00FF7228">
        <w:t>Eye</w:t>
      </w:r>
      <w:proofErr w:type="spellEnd"/>
      <w:r w:rsidRPr="00FF7228">
        <w:t xml:space="preserve"> Dam. 1</w:t>
      </w:r>
      <w:r w:rsidRPr="00FF7228">
        <w:tab/>
      </w:r>
      <w:r w:rsidRPr="00FF7228">
        <w:tab/>
      </w:r>
      <w:r w:rsidRPr="00FF7228">
        <w:rPr>
          <w:rFonts w:eastAsia="Arial Unicode MS"/>
          <w:szCs w:val="16"/>
        </w:rPr>
        <w:t>Vážné poškození očí, kategorie 1</w:t>
      </w:r>
    </w:p>
    <w:p w14:paraId="587529E3" w14:textId="77777777" w:rsidR="00BD6EE8" w:rsidRPr="00FF7228" w:rsidRDefault="00BD6EE8" w:rsidP="00BD6EE8">
      <w:pPr>
        <w:pStyle w:val="NormalTab"/>
        <w:overflowPunct/>
        <w:textAlignment w:val="auto"/>
      </w:pPr>
      <w:proofErr w:type="spellStart"/>
      <w:r w:rsidRPr="00FF7228">
        <w:t>Eye</w:t>
      </w:r>
      <w:proofErr w:type="spellEnd"/>
      <w:r w:rsidRPr="00FF7228">
        <w:t xml:space="preserve"> </w:t>
      </w:r>
      <w:proofErr w:type="spellStart"/>
      <w:r w:rsidRPr="00FF7228">
        <w:t>Irrit</w:t>
      </w:r>
      <w:proofErr w:type="spellEnd"/>
      <w:r w:rsidRPr="00FF7228">
        <w:t>. 2</w:t>
      </w:r>
      <w:r w:rsidRPr="00FF7228">
        <w:tab/>
      </w:r>
      <w:r w:rsidRPr="00FF7228">
        <w:tab/>
      </w:r>
      <w:r w:rsidRPr="00FF7228">
        <w:rPr>
          <w:szCs w:val="17"/>
        </w:rPr>
        <w:t xml:space="preserve">Podráždění </w:t>
      </w:r>
      <w:r w:rsidRPr="00FF7228">
        <w:t>očí, kategorie 2</w:t>
      </w:r>
      <w:r w:rsidRPr="00FF7228">
        <w:tab/>
      </w:r>
      <w:r w:rsidRPr="00FF7228">
        <w:tab/>
      </w:r>
    </w:p>
    <w:p w14:paraId="21D4BE70" w14:textId="77777777" w:rsidR="00E44A0C" w:rsidRPr="00FF7228" w:rsidRDefault="00BD6EE8" w:rsidP="00BD6EE8">
      <w:pPr>
        <w:ind w:left="0"/>
      </w:pPr>
      <w:proofErr w:type="spellStart"/>
      <w:r w:rsidRPr="00FF7228">
        <w:t>Aquatic</w:t>
      </w:r>
      <w:proofErr w:type="spellEnd"/>
      <w:r w:rsidRPr="00FF7228">
        <w:t xml:space="preserve"> </w:t>
      </w:r>
      <w:proofErr w:type="spellStart"/>
      <w:r w:rsidRPr="00FF7228">
        <w:t>Chronic</w:t>
      </w:r>
      <w:proofErr w:type="spellEnd"/>
      <w:r w:rsidRPr="00FF7228">
        <w:t xml:space="preserve"> 3</w:t>
      </w:r>
      <w:r w:rsidRPr="00FF7228">
        <w:tab/>
      </w:r>
      <w:r w:rsidRPr="00FF7228">
        <w:rPr>
          <w:szCs w:val="16"/>
        </w:rPr>
        <w:t>Nebezpečný pro vodní prostředí, chronicky, kategorie 3</w:t>
      </w:r>
    </w:p>
    <w:p w14:paraId="799A8169" w14:textId="77777777" w:rsidR="00BD6EE8" w:rsidRPr="00FF7228" w:rsidRDefault="00BD6EE8" w:rsidP="00BD6EE8">
      <w:pPr>
        <w:ind w:left="0"/>
      </w:pPr>
      <w:proofErr w:type="spellStart"/>
      <w:r w:rsidRPr="00FF7228">
        <w:t>Xi</w:t>
      </w:r>
      <w:proofErr w:type="spellEnd"/>
      <w:r w:rsidRPr="00FF7228">
        <w:tab/>
      </w:r>
      <w:r w:rsidRPr="00FF7228">
        <w:tab/>
      </w:r>
      <w:r w:rsidRPr="00FF7228">
        <w:tab/>
        <w:t>Dráždivý</w:t>
      </w:r>
    </w:p>
    <w:p w14:paraId="37639839" w14:textId="77777777" w:rsidR="00BD6EE8" w:rsidRPr="00FF7228" w:rsidRDefault="00BD6EE8" w:rsidP="00BD6EE8">
      <w:pPr>
        <w:ind w:left="0"/>
      </w:pPr>
      <w:proofErr w:type="spellStart"/>
      <w:r w:rsidRPr="00FF7228">
        <w:t>Xn</w:t>
      </w:r>
      <w:proofErr w:type="spellEnd"/>
      <w:r w:rsidRPr="00FF7228">
        <w:tab/>
      </w:r>
      <w:r w:rsidRPr="00FF7228">
        <w:tab/>
      </w:r>
      <w:r w:rsidRPr="00FF7228">
        <w:tab/>
        <w:t>Zdraví škodlivý</w:t>
      </w:r>
    </w:p>
    <w:p w14:paraId="02D39EF3" w14:textId="77777777" w:rsidR="00E44A0C" w:rsidRPr="00FF7228" w:rsidRDefault="00E44A0C">
      <w:pPr>
        <w:spacing w:before="120"/>
        <w:ind w:left="0"/>
        <w:rPr>
          <w:rFonts w:ascii="Arial" w:hAnsi="Arial" w:cs="Arial"/>
          <w:b/>
        </w:rPr>
      </w:pPr>
      <w:r w:rsidRPr="00FF7228">
        <w:rPr>
          <w:rFonts w:ascii="Arial" w:hAnsi="Arial" w:cs="Arial"/>
          <w:b/>
        </w:rPr>
        <w:t xml:space="preserve">Důležité odkazy na literaturu a zdroje dat </w:t>
      </w:r>
    </w:p>
    <w:p w14:paraId="0B857465" w14:textId="77777777" w:rsidR="00E44A0C" w:rsidRPr="00FF7228" w:rsidRDefault="00E44A0C">
      <w:pPr>
        <w:pStyle w:val="Normaltab0"/>
        <w:jc w:val="both"/>
        <w:rPr>
          <w:szCs w:val="24"/>
          <w:lang w:eastAsia="cs-CZ"/>
        </w:rPr>
      </w:pPr>
      <w:r w:rsidRPr="00FF7228">
        <w:rPr>
          <w:szCs w:val="24"/>
          <w:lang w:eastAsia="cs-CZ"/>
        </w:rPr>
        <w:t>Informace zde uvedené vycházejí z našich nejlepších znalostí a současné legislativy. Bezpečnostní list byl dále zpracován na podkladě originálu bezpečnostního listu poskytnutého výrobcem.</w:t>
      </w:r>
    </w:p>
    <w:p w14:paraId="19CF0F4D" w14:textId="77777777" w:rsidR="00E44A0C" w:rsidRPr="00FF7228" w:rsidRDefault="00E44A0C">
      <w:pPr>
        <w:pStyle w:val="Nadpis2"/>
        <w:numPr>
          <w:ilvl w:val="0"/>
          <w:numId w:val="0"/>
        </w:numPr>
        <w:jc w:val="both"/>
      </w:pPr>
      <w:r w:rsidRPr="00FF7228">
        <w:t>Seznam R-v</w:t>
      </w:r>
      <w:r w:rsidRPr="00FF7228">
        <w:rPr>
          <w:rFonts w:cs="Arial"/>
        </w:rPr>
        <w:t>ět, standardních vět o nebezpečnosti, bezpečnostních vět a/nebo pokynů pro bezpečné zacházení použitých v bezpečnostním</w:t>
      </w:r>
      <w:r w:rsidRPr="00FF7228">
        <w:t xml:space="preserve"> listu</w:t>
      </w:r>
    </w:p>
    <w:p w14:paraId="378AC7D1" w14:textId="77777777" w:rsidR="00BD6EE8" w:rsidRPr="00FF7228" w:rsidRDefault="00BD6EE8">
      <w:pPr>
        <w:ind w:left="0"/>
        <w:jc w:val="both"/>
      </w:pPr>
      <w:r w:rsidRPr="00FF7228">
        <w:t>H302</w:t>
      </w:r>
      <w:r w:rsidRPr="00FF7228">
        <w:rPr>
          <w:szCs w:val="17"/>
        </w:rPr>
        <w:t xml:space="preserve"> Zdraví škodlivý při požití.</w:t>
      </w:r>
    </w:p>
    <w:p w14:paraId="62207920" w14:textId="77777777" w:rsidR="00BD6EE8" w:rsidRPr="00FF7228" w:rsidRDefault="00BD6EE8">
      <w:pPr>
        <w:ind w:left="0"/>
        <w:jc w:val="both"/>
      </w:pPr>
      <w:r w:rsidRPr="00FF7228">
        <w:t>H315</w:t>
      </w:r>
      <w:r w:rsidRPr="00FF7228">
        <w:rPr>
          <w:szCs w:val="17"/>
        </w:rPr>
        <w:t xml:space="preserve"> Dráždí kůži.</w:t>
      </w:r>
    </w:p>
    <w:p w14:paraId="12D39AD7" w14:textId="77777777" w:rsidR="00BD6EE8" w:rsidRPr="00FF7228" w:rsidRDefault="00BD6EE8">
      <w:pPr>
        <w:ind w:left="0"/>
        <w:jc w:val="both"/>
      </w:pPr>
      <w:r w:rsidRPr="00FF7228">
        <w:t>H318</w:t>
      </w:r>
      <w:r w:rsidRPr="00FF7228">
        <w:rPr>
          <w:szCs w:val="17"/>
        </w:rPr>
        <w:t xml:space="preserve"> Způsobuje vážné poškození očí.</w:t>
      </w:r>
    </w:p>
    <w:p w14:paraId="5AE7F841" w14:textId="77777777" w:rsidR="00BD6EE8" w:rsidRPr="00FF7228" w:rsidRDefault="00BD6EE8">
      <w:pPr>
        <w:ind w:left="0"/>
        <w:jc w:val="both"/>
      </w:pPr>
      <w:r w:rsidRPr="00FF7228">
        <w:t>H319</w:t>
      </w:r>
      <w:r w:rsidRPr="00FF7228">
        <w:rPr>
          <w:szCs w:val="17"/>
        </w:rPr>
        <w:t xml:space="preserve"> Způsobuje vážné podráždění očí.</w:t>
      </w:r>
    </w:p>
    <w:p w14:paraId="102BC0C4" w14:textId="77777777" w:rsidR="00BD6EE8" w:rsidRPr="00FF7228" w:rsidRDefault="00BD6EE8">
      <w:pPr>
        <w:ind w:left="0"/>
        <w:jc w:val="both"/>
      </w:pPr>
      <w:r w:rsidRPr="00FF7228">
        <w:t>H412</w:t>
      </w:r>
      <w:r w:rsidRPr="00FF7228">
        <w:rPr>
          <w:szCs w:val="17"/>
        </w:rPr>
        <w:t xml:space="preserve"> Škodlivý pro vodní organismy, s dlouhodobými účinky.</w:t>
      </w:r>
    </w:p>
    <w:p w14:paraId="798EC8EF" w14:textId="77777777" w:rsidR="00DC1880" w:rsidRPr="00FF7228" w:rsidRDefault="00DC1880" w:rsidP="00DC1880">
      <w:pPr>
        <w:overflowPunct/>
        <w:ind w:left="0"/>
        <w:textAlignment w:val="auto"/>
      </w:pPr>
      <w:r w:rsidRPr="00FF7228">
        <w:rPr>
          <w:bCs/>
        </w:rPr>
        <w:t>P101</w:t>
      </w:r>
      <w:r w:rsidRPr="00FF7228">
        <w:t xml:space="preserve"> Je-li nutná lékařská pomoc, mějte po ruce obal nebo štítek výrobku.</w:t>
      </w:r>
    </w:p>
    <w:p w14:paraId="75BF7FB1" w14:textId="77777777" w:rsidR="00DC1880" w:rsidRPr="00FF7228" w:rsidRDefault="00DC1880" w:rsidP="00DC1880">
      <w:pPr>
        <w:overflowPunct/>
        <w:ind w:left="0"/>
        <w:textAlignment w:val="auto"/>
      </w:pPr>
      <w:r w:rsidRPr="00FF7228">
        <w:t>P102 Uchovávejte mimo dosah dětí.</w:t>
      </w:r>
    </w:p>
    <w:p w14:paraId="4E92A7B4" w14:textId="77777777" w:rsidR="00DC1880" w:rsidRPr="00FF7228" w:rsidRDefault="00DC1880" w:rsidP="00DC1880">
      <w:pPr>
        <w:ind w:left="0"/>
        <w:rPr>
          <w:bCs/>
        </w:rPr>
      </w:pPr>
      <w:r w:rsidRPr="00FF7228">
        <w:rPr>
          <w:bCs/>
        </w:rPr>
        <w:t>P280</w:t>
      </w:r>
      <w:r w:rsidRPr="00FF7228">
        <w:t xml:space="preserve"> Používejte ochranné brýle.</w:t>
      </w:r>
    </w:p>
    <w:p w14:paraId="6B388EB6" w14:textId="77777777" w:rsidR="00DC1880" w:rsidRPr="00FF7228" w:rsidRDefault="00DC1880" w:rsidP="00DC1880">
      <w:pPr>
        <w:overflowPunct/>
        <w:ind w:left="0"/>
        <w:textAlignment w:val="auto"/>
      </w:pPr>
      <w:r w:rsidRPr="00FF7228">
        <w:t>P305 + P351 + P338 PŘI ZASAŽENÍ OČÍ: Několik minut opatrně vyplachujte vodou. Vyjměte kontaktní čočky, jsou-li nasazeny a pokud je lze vyjmout snadno. Pokračujte ve vyplachování.</w:t>
      </w:r>
    </w:p>
    <w:p w14:paraId="73C7D2A7" w14:textId="77777777" w:rsidR="00DC1880" w:rsidRDefault="00DC1880" w:rsidP="00DC1880">
      <w:pPr>
        <w:ind w:left="0"/>
        <w:jc w:val="both"/>
      </w:pPr>
      <w:r w:rsidRPr="00FF7228">
        <w:t>P337 + P313 Přetrvává-li podráždění očí: Vyhledejte lékařskou pomoc/ošetření.</w:t>
      </w:r>
    </w:p>
    <w:p w14:paraId="53E9384B" w14:textId="77777777" w:rsidR="00E44A0C" w:rsidRPr="00FF7228" w:rsidRDefault="00E44A0C">
      <w:pPr>
        <w:spacing w:before="120"/>
        <w:ind w:left="0"/>
        <w:jc w:val="both"/>
        <w:rPr>
          <w:rFonts w:ascii="Arial" w:hAnsi="Arial"/>
          <w:b/>
        </w:rPr>
      </w:pPr>
      <w:r w:rsidRPr="00FF7228">
        <w:rPr>
          <w:rFonts w:ascii="Arial" w:hAnsi="Arial"/>
          <w:b/>
        </w:rPr>
        <w:t>Pokyny pro školení</w:t>
      </w:r>
    </w:p>
    <w:p w14:paraId="3521772E" w14:textId="77777777" w:rsidR="00E44A0C" w:rsidRPr="00FF7228" w:rsidRDefault="00E44A0C">
      <w:pPr>
        <w:pStyle w:val="Normaltab0"/>
        <w:jc w:val="both"/>
        <w:rPr>
          <w:szCs w:val="24"/>
          <w:lang w:eastAsia="cs-CZ"/>
        </w:rPr>
      </w:pPr>
      <w:r w:rsidRPr="00FF7228">
        <w:rPr>
          <w:szCs w:val="24"/>
          <w:lang w:eastAsia="cs-CZ"/>
        </w:rPr>
        <w:lastRenderedPageBreak/>
        <w:t xml:space="preserve">Viz zákoník práce zákon </w:t>
      </w:r>
      <w:r w:rsidRPr="00FF7228">
        <w:t>č. 262/2006 Sb., ve znění pozdějších předpisů.</w:t>
      </w:r>
    </w:p>
    <w:p w14:paraId="5FE5E2B2" w14:textId="77777777" w:rsidR="00E44A0C" w:rsidRPr="00FF7228" w:rsidRDefault="00E44A0C">
      <w:pPr>
        <w:spacing w:before="120"/>
        <w:ind w:left="0"/>
        <w:jc w:val="both"/>
        <w:rPr>
          <w:rFonts w:ascii="Arial" w:hAnsi="Arial"/>
          <w:b/>
        </w:rPr>
      </w:pPr>
      <w:r w:rsidRPr="00FF7228">
        <w:rPr>
          <w:rFonts w:ascii="Arial" w:hAnsi="Arial"/>
          <w:b/>
        </w:rPr>
        <w:t>Další informace</w:t>
      </w:r>
    </w:p>
    <w:p w14:paraId="1136AF58" w14:textId="77777777" w:rsidR="00C62B31" w:rsidRDefault="00C62B31" w:rsidP="00C62B31">
      <w:pPr>
        <w:pStyle w:val="Normaltab0"/>
        <w:jc w:val="both"/>
      </w:pPr>
      <w:r>
        <w:t>Bezpečnostní list byl sestaven na základě bezpečnostních listů složek směsi a na základě bezpečnostního listu výrobce směsi. Pouze pro profesionální použití. Produkt by neměl být použit pro žádný jiný účel, než pro který je určen (oddíl 1.2). Protože specifické podmínky použití se nacházejí mimo kontrolu dodavatele, je odpovědností uživatele, aby přizpůsobil předepsaná upozornění místním zákonům a nařízením. Bezpečnostní informace popisují výrobek z hlediska bezpečnostního a nemohou být považovány za technické informace o výrobku.</w:t>
      </w:r>
    </w:p>
    <w:p w14:paraId="79F16CED" w14:textId="77777777" w:rsidR="00E44A0C" w:rsidRPr="00FF7228" w:rsidRDefault="00E44A0C" w:rsidP="00C62B31">
      <w:pPr>
        <w:pStyle w:val="Normaltab0"/>
        <w:jc w:val="both"/>
      </w:pPr>
    </w:p>
    <w:sectPr w:rsidR="00E44A0C" w:rsidRPr="00FF7228" w:rsidSect="00E205F7">
      <w:headerReference w:type="default" r:id="rId12"/>
      <w:pgSz w:w="11906" w:h="16838" w:code="9"/>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92BD" w14:textId="77777777" w:rsidR="00BB6DF0" w:rsidRDefault="00BB6DF0">
      <w:r>
        <w:separator/>
      </w:r>
    </w:p>
  </w:endnote>
  <w:endnote w:type="continuationSeparator" w:id="0">
    <w:p w14:paraId="369856AC" w14:textId="77777777" w:rsidR="00BB6DF0" w:rsidRDefault="00BB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2806" w14:textId="77777777" w:rsidR="00BB6DF0" w:rsidRDefault="00BB6DF0">
      <w:r>
        <w:separator/>
      </w:r>
    </w:p>
  </w:footnote>
  <w:footnote w:type="continuationSeparator" w:id="0">
    <w:p w14:paraId="351534D5" w14:textId="77777777" w:rsidR="00BB6DF0" w:rsidRDefault="00BB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FD02" w14:textId="77777777" w:rsidR="00216568" w:rsidRDefault="00216568" w:rsidP="00216568">
    <w:pPr>
      <w:jc w:val="center"/>
      <w:rPr>
        <w:b/>
        <w:bCs/>
        <w:sz w:val="22"/>
      </w:rPr>
    </w:pPr>
    <w:r>
      <w:rPr>
        <w:b/>
        <w:bCs/>
        <w:sz w:val="22"/>
      </w:rPr>
      <w:t>BEZPEČNOSTNÍ LIST</w:t>
    </w:r>
  </w:p>
  <w:p w14:paraId="070F20CE" w14:textId="77777777" w:rsidR="00216568" w:rsidRDefault="00216568" w:rsidP="00216568">
    <w:pPr>
      <w:overflowPunct/>
      <w:ind w:left="0"/>
      <w:jc w:val="center"/>
      <w:textAlignment w:val="auto"/>
      <w:rPr>
        <w:sz w:val="22"/>
      </w:rPr>
    </w:pPr>
    <w:r>
      <w:rPr>
        <w:sz w:val="22"/>
      </w:rPr>
      <w:t xml:space="preserve">(podle </w:t>
    </w:r>
    <w:r>
      <w:rPr>
        <w:sz w:val="22"/>
        <w:szCs w:val="24"/>
      </w:rPr>
      <w:t>nařízení Evropského parlamentu a Rady (ES) č. 1907/2006</w:t>
    </w:r>
    <w:r>
      <w:rPr>
        <w:sz w:val="22"/>
      </w:rPr>
      <w:t>)</w:t>
    </w:r>
  </w:p>
  <w:p w14:paraId="6A6A219A" w14:textId="29F8AF47" w:rsidR="00216568" w:rsidRDefault="00216568" w:rsidP="00216568">
    <w:pPr>
      <w:pBdr>
        <w:top w:val="single" w:sz="6" w:space="1" w:color="auto"/>
        <w:left w:val="single" w:sz="6" w:space="8" w:color="auto"/>
        <w:bottom w:val="single" w:sz="6" w:space="1" w:color="auto"/>
        <w:right w:val="single" w:sz="6" w:space="1" w:color="auto"/>
      </w:pBdr>
      <w:tabs>
        <w:tab w:val="left" w:pos="7938"/>
      </w:tabs>
      <w:spacing w:before="60"/>
      <w:ind w:left="142"/>
      <w:rPr>
        <w:rStyle w:val="slostrnky"/>
      </w:rPr>
    </w:pPr>
    <w:r>
      <w:t xml:space="preserve">Datum </w:t>
    </w:r>
    <w:r w:rsidR="00DE3BCD">
      <w:t>vydání / verze č.: Revize: 23. 8</w:t>
    </w:r>
    <w:r>
      <w:t>. 20</w:t>
    </w:r>
    <w:r w:rsidR="00752CBE">
      <w:t>20</w:t>
    </w:r>
    <w:r>
      <w:t xml:space="preserve"> / </w:t>
    </w:r>
    <w:r w:rsidR="00752CBE">
      <w:t>3</w:t>
    </w:r>
    <w:r>
      <w:t xml:space="preserve">.0                                                                         Strana: </w:t>
    </w:r>
    <w:r w:rsidR="008464FE">
      <w:rPr>
        <w:rStyle w:val="slostrnky"/>
      </w:rPr>
      <w:fldChar w:fldCharType="begin"/>
    </w:r>
    <w:r>
      <w:rPr>
        <w:rStyle w:val="slostrnky"/>
      </w:rPr>
      <w:instrText xml:space="preserve"> PAGE </w:instrText>
    </w:r>
    <w:r w:rsidR="008464FE">
      <w:rPr>
        <w:rStyle w:val="slostrnky"/>
      </w:rPr>
      <w:fldChar w:fldCharType="separate"/>
    </w:r>
    <w:r w:rsidR="00DE3BCD">
      <w:rPr>
        <w:rStyle w:val="slostrnky"/>
        <w:noProof/>
      </w:rPr>
      <w:t>8</w:t>
    </w:r>
    <w:r w:rsidR="008464FE">
      <w:rPr>
        <w:rStyle w:val="slostrnky"/>
      </w:rPr>
      <w:fldChar w:fldCharType="end"/>
    </w:r>
    <w:r>
      <w:rPr>
        <w:rStyle w:val="slostrnky"/>
      </w:rPr>
      <w:t xml:space="preserve"> / </w:t>
    </w:r>
    <w:r w:rsidR="008464FE">
      <w:rPr>
        <w:rStyle w:val="slostrnky"/>
      </w:rPr>
      <w:fldChar w:fldCharType="begin"/>
    </w:r>
    <w:r>
      <w:rPr>
        <w:rStyle w:val="slostrnky"/>
      </w:rPr>
      <w:instrText xml:space="preserve"> NUMPAGES </w:instrText>
    </w:r>
    <w:r w:rsidR="008464FE">
      <w:rPr>
        <w:rStyle w:val="slostrnky"/>
      </w:rPr>
      <w:fldChar w:fldCharType="separate"/>
    </w:r>
    <w:r w:rsidR="00DE3BCD">
      <w:rPr>
        <w:rStyle w:val="slostrnky"/>
        <w:noProof/>
      </w:rPr>
      <w:t>9</w:t>
    </w:r>
    <w:r w:rsidR="008464FE">
      <w:rPr>
        <w:rStyle w:val="slostrnky"/>
      </w:rPr>
      <w:fldChar w:fldCharType="end"/>
    </w:r>
  </w:p>
  <w:p w14:paraId="0497F594" w14:textId="56DDB5BF" w:rsidR="00216568" w:rsidRPr="0020406A" w:rsidRDefault="00216568" w:rsidP="00216568">
    <w:pPr>
      <w:pBdr>
        <w:top w:val="single" w:sz="6" w:space="1" w:color="auto"/>
        <w:left w:val="single" w:sz="6" w:space="8" w:color="auto"/>
        <w:bottom w:val="single" w:sz="6" w:space="1" w:color="auto"/>
        <w:right w:val="single" w:sz="6" w:space="1" w:color="auto"/>
      </w:pBdr>
      <w:tabs>
        <w:tab w:val="left" w:pos="2835"/>
      </w:tabs>
      <w:spacing w:before="60"/>
      <w:ind w:left="142"/>
      <w:rPr>
        <w:b/>
        <w:sz w:val="24"/>
        <w:szCs w:val="24"/>
      </w:rPr>
    </w:pPr>
    <w:r>
      <w:t xml:space="preserve">Název </w:t>
    </w:r>
    <w:proofErr w:type="gramStart"/>
    <w:r>
      <w:t>výrobku</w:t>
    </w:r>
    <w:r>
      <w:rPr>
        <w:rFonts w:ascii="Arial" w:hAnsi="Arial"/>
      </w:rPr>
      <w:t>:</w:t>
    </w:r>
    <w:r>
      <w:rPr>
        <w:rFonts w:ascii="Arial" w:hAnsi="Arial" w:cs="Arial"/>
        <w:b/>
        <w:bCs/>
        <w:color w:val="000000"/>
        <w:szCs w:val="17"/>
      </w:rPr>
      <w:t xml:space="preserve">   </w:t>
    </w:r>
    <w:proofErr w:type="gramEnd"/>
    <w:r>
      <w:rPr>
        <w:rFonts w:ascii="Arial" w:hAnsi="Arial" w:cs="Arial"/>
        <w:b/>
        <w:bCs/>
        <w:color w:val="000000"/>
        <w:szCs w:val="17"/>
      </w:rPr>
      <w:t xml:space="preserve">          </w:t>
    </w:r>
    <w:proofErr w:type="spellStart"/>
    <w:r>
      <w:rPr>
        <w:rFonts w:ascii="Arial" w:hAnsi="Arial" w:cs="Arial"/>
        <w:b/>
        <w:bCs/>
        <w:sz w:val="24"/>
        <w:szCs w:val="24"/>
      </w:rPr>
      <w:t>Primo</w:t>
    </w:r>
    <w:r w:rsidR="00AE273E">
      <w:rPr>
        <w:rFonts w:ascii="Arial" w:hAnsi="Arial" w:cs="Arial"/>
        <w:b/>
        <w:bCs/>
        <w:sz w:val="24"/>
        <w:szCs w:val="24"/>
      </w:rPr>
      <w:t>na</w:t>
    </w:r>
    <w:proofErr w:type="spellEnd"/>
    <w:r>
      <w:rPr>
        <w:rFonts w:ascii="Arial" w:hAnsi="Arial" w:cs="Arial"/>
        <w:b/>
        <w:bCs/>
        <w:sz w:val="24"/>
        <w:szCs w:val="24"/>
      </w:rPr>
      <w:t xml:space="preserve"> univerzální čistič Lemon</w:t>
    </w:r>
  </w:p>
  <w:p w14:paraId="54B4E011" w14:textId="77777777" w:rsidR="001348E7" w:rsidRPr="00216568" w:rsidRDefault="001348E7" w:rsidP="00216568">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788DAA"/>
    <w:lvl w:ilvl="0">
      <w:start w:val="1"/>
      <w:numFmt w:val="decimal"/>
      <w:pStyle w:val="Nadpis1"/>
      <w:lvlText w:val="%1."/>
      <w:legacy w:legacy="1" w:legacySpace="57"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103058B"/>
    <w:multiLevelType w:val="multilevel"/>
    <w:tmpl w:val="849CD9E4"/>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197DFC"/>
    <w:multiLevelType w:val="multilevel"/>
    <w:tmpl w:val="FFFAAA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565277"/>
    <w:multiLevelType w:val="multilevel"/>
    <w:tmpl w:val="F7CC174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996D37"/>
    <w:multiLevelType w:val="multilevel"/>
    <w:tmpl w:val="686E9FB6"/>
    <w:lvl w:ilvl="0">
      <w:start w:val="1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CDA050C"/>
    <w:multiLevelType w:val="multilevel"/>
    <w:tmpl w:val="812AB6F0"/>
    <w:lvl w:ilvl="0">
      <w:start w:val="11"/>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EC1AA9"/>
    <w:multiLevelType w:val="multilevel"/>
    <w:tmpl w:val="D472B43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11834C4"/>
    <w:multiLevelType w:val="multilevel"/>
    <w:tmpl w:val="15BC33E2"/>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D104872"/>
    <w:multiLevelType w:val="multilevel"/>
    <w:tmpl w:val="E48432B8"/>
    <w:lvl w:ilvl="0">
      <w:start w:val="16"/>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4F6C1B"/>
    <w:multiLevelType w:val="multilevel"/>
    <w:tmpl w:val="4BAA447A"/>
    <w:lvl w:ilvl="0">
      <w:start w:val="1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4EF37DB"/>
    <w:multiLevelType w:val="multilevel"/>
    <w:tmpl w:val="36E6905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559288C"/>
    <w:multiLevelType w:val="multilevel"/>
    <w:tmpl w:val="9EFCD53C"/>
    <w:lvl w:ilvl="0">
      <w:start w:val="15"/>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4B78073B"/>
    <w:multiLevelType w:val="hybridMultilevel"/>
    <w:tmpl w:val="24C05D98"/>
    <w:lvl w:ilvl="0" w:tplc="0405000F">
      <w:start w:val="1"/>
      <w:numFmt w:val="decimal"/>
      <w:lvlText w:val="%1."/>
      <w:lvlJc w:val="left"/>
      <w:pPr>
        <w:tabs>
          <w:tab w:val="num" w:pos="720"/>
        </w:tabs>
        <w:ind w:left="720" w:hanging="360"/>
      </w:pPr>
    </w:lvl>
    <w:lvl w:ilvl="1" w:tplc="D9947E9C">
      <w:start w:val="1"/>
      <w:numFmt w:val="bullet"/>
      <w:lvlText w:val=""/>
      <w:lvlJc w:val="left"/>
      <w:pPr>
        <w:tabs>
          <w:tab w:val="num" w:pos="1440"/>
        </w:tabs>
        <w:ind w:left="1440" w:hanging="360"/>
      </w:pPr>
      <w:rPr>
        <w:rFonts w:ascii="Wingdings" w:hAnsi="Wingding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D0510D2"/>
    <w:multiLevelType w:val="multilevel"/>
    <w:tmpl w:val="1A766DC4"/>
    <w:lvl w:ilvl="0">
      <w:start w:val="14"/>
      <w:numFmt w:val="decimal"/>
      <w:lvlText w:val="%1"/>
      <w:lvlJc w:val="left"/>
      <w:pPr>
        <w:tabs>
          <w:tab w:val="num" w:pos="585"/>
        </w:tabs>
        <w:ind w:left="585" w:hanging="585"/>
      </w:pPr>
      <w:rPr>
        <w:rFonts w:hint="default"/>
        <w:b/>
      </w:rPr>
    </w:lvl>
    <w:lvl w:ilvl="1">
      <w:start w:val="1"/>
      <w:numFmt w:val="decimal"/>
      <w:lvlText w:val="%1.%2"/>
      <w:lvlJc w:val="left"/>
      <w:pPr>
        <w:tabs>
          <w:tab w:val="num" w:pos="585"/>
        </w:tabs>
        <w:ind w:left="585" w:hanging="58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F6061D8"/>
    <w:multiLevelType w:val="multilevel"/>
    <w:tmpl w:val="E81409CE"/>
    <w:lvl w:ilvl="0">
      <w:start w:val="12"/>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949093D"/>
    <w:multiLevelType w:val="multilevel"/>
    <w:tmpl w:val="2B6AF040"/>
    <w:lvl w:ilvl="0">
      <w:start w:val="14"/>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E221933"/>
    <w:multiLevelType w:val="multilevel"/>
    <w:tmpl w:val="E9643E0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FD005E3"/>
    <w:multiLevelType w:val="multilevel"/>
    <w:tmpl w:val="FE22F274"/>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FE4CA1"/>
    <w:multiLevelType w:val="multilevel"/>
    <w:tmpl w:val="FD2C36EC"/>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1"/>
        </w:tabs>
        <w:ind w:left="391" w:hanging="39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19" w15:restartNumberingAfterBreak="0">
    <w:nsid w:val="669A670C"/>
    <w:multiLevelType w:val="multilevel"/>
    <w:tmpl w:val="F4A4E89E"/>
    <w:lvl w:ilvl="0">
      <w:start w:val="15"/>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7BC15CC9"/>
    <w:multiLevelType w:val="multilevel"/>
    <w:tmpl w:val="C37E3C8E"/>
    <w:lvl w:ilvl="0">
      <w:start w:val="2"/>
      <w:numFmt w:val="decimal"/>
      <w:lvlText w:val="%1"/>
      <w:lvlJc w:val="left"/>
      <w:pPr>
        <w:tabs>
          <w:tab w:val="num" w:pos="390"/>
        </w:tabs>
        <w:ind w:left="390" w:hanging="390"/>
      </w:pPr>
      <w:rPr>
        <w:rFonts w:ascii="Arial" w:hAnsi="Arial" w:hint="default"/>
        <w:b/>
      </w:rPr>
    </w:lvl>
    <w:lvl w:ilvl="1">
      <w:start w:val="2"/>
      <w:numFmt w:val="decimal"/>
      <w:lvlText w:val="%1.%2"/>
      <w:lvlJc w:val="left"/>
      <w:pPr>
        <w:tabs>
          <w:tab w:val="num" w:pos="391"/>
        </w:tabs>
        <w:ind w:left="391" w:hanging="390"/>
      </w:pPr>
      <w:rPr>
        <w:rFonts w:ascii="Arial" w:hAnsi="Arial" w:hint="default"/>
        <w:b/>
      </w:rPr>
    </w:lvl>
    <w:lvl w:ilvl="2">
      <w:start w:val="1"/>
      <w:numFmt w:val="decimal"/>
      <w:lvlText w:val="%1.%2.%3"/>
      <w:lvlJc w:val="left"/>
      <w:pPr>
        <w:tabs>
          <w:tab w:val="num" w:pos="722"/>
        </w:tabs>
        <w:ind w:left="722" w:hanging="720"/>
      </w:pPr>
      <w:rPr>
        <w:rFonts w:ascii="Arial" w:hAnsi="Arial" w:hint="default"/>
        <w:b/>
      </w:rPr>
    </w:lvl>
    <w:lvl w:ilvl="3">
      <w:start w:val="1"/>
      <w:numFmt w:val="decimal"/>
      <w:lvlText w:val="%1.%2.%3.%4"/>
      <w:lvlJc w:val="left"/>
      <w:pPr>
        <w:tabs>
          <w:tab w:val="num" w:pos="723"/>
        </w:tabs>
        <w:ind w:left="723" w:hanging="720"/>
      </w:pPr>
      <w:rPr>
        <w:rFonts w:ascii="Arial" w:hAnsi="Arial" w:hint="default"/>
        <w:b/>
      </w:rPr>
    </w:lvl>
    <w:lvl w:ilvl="4">
      <w:start w:val="1"/>
      <w:numFmt w:val="decimal"/>
      <w:lvlText w:val="%1.%2.%3.%4.%5"/>
      <w:lvlJc w:val="left"/>
      <w:pPr>
        <w:tabs>
          <w:tab w:val="num" w:pos="1084"/>
        </w:tabs>
        <w:ind w:left="1084" w:hanging="1080"/>
      </w:pPr>
      <w:rPr>
        <w:rFonts w:ascii="Arial" w:hAnsi="Arial" w:hint="default"/>
        <w:b/>
      </w:rPr>
    </w:lvl>
    <w:lvl w:ilvl="5">
      <w:start w:val="1"/>
      <w:numFmt w:val="decimal"/>
      <w:lvlText w:val="%1.%2.%3.%4.%5.%6"/>
      <w:lvlJc w:val="left"/>
      <w:pPr>
        <w:tabs>
          <w:tab w:val="num" w:pos="1085"/>
        </w:tabs>
        <w:ind w:left="1085" w:hanging="1080"/>
      </w:pPr>
      <w:rPr>
        <w:rFonts w:ascii="Arial" w:hAnsi="Arial" w:hint="default"/>
        <w:b/>
      </w:rPr>
    </w:lvl>
    <w:lvl w:ilvl="6">
      <w:start w:val="1"/>
      <w:numFmt w:val="decimal"/>
      <w:lvlText w:val="%1.%2.%3.%4.%5.%6.%7"/>
      <w:lvlJc w:val="left"/>
      <w:pPr>
        <w:tabs>
          <w:tab w:val="num" w:pos="1446"/>
        </w:tabs>
        <w:ind w:left="1446" w:hanging="1440"/>
      </w:pPr>
      <w:rPr>
        <w:rFonts w:ascii="Arial" w:hAnsi="Arial" w:hint="default"/>
        <w:b/>
      </w:rPr>
    </w:lvl>
    <w:lvl w:ilvl="7">
      <w:start w:val="1"/>
      <w:numFmt w:val="decimal"/>
      <w:lvlText w:val="%1.%2.%3.%4.%5.%6.%7.%8"/>
      <w:lvlJc w:val="left"/>
      <w:pPr>
        <w:tabs>
          <w:tab w:val="num" w:pos="1447"/>
        </w:tabs>
        <w:ind w:left="1447" w:hanging="1440"/>
      </w:pPr>
      <w:rPr>
        <w:rFonts w:ascii="Arial" w:hAnsi="Arial" w:hint="default"/>
        <w:b/>
      </w:rPr>
    </w:lvl>
    <w:lvl w:ilvl="8">
      <w:start w:val="1"/>
      <w:numFmt w:val="decimal"/>
      <w:lvlText w:val="%1.%2.%3.%4.%5.%6.%7.%8.%9"/>
      <w:lvlJc w:val="left"/>
      <w:pPr>
        <w:tabs>
          <w:tab w:val="num" w:pos="1448"/>
        </w:tabs>
        <w:ind w:left="1448" w:hanging="1440"/>
      </w:pPr>
      <w:rPr>
        <w:rFonts w:ascii="Arial" w:hAnsi="Arial" w:hint="default"/>
        <w:b/>
      </w:rPr>
    </w:lvl>
  </w:abstractNum>
  <w:num w:numId="1">
    <w:abstractNumId w:val="0"/>
  </w:num>
  <w:num w:numId="2">
    <w:abstractNumId w:val="12"/>
  </w:num>
  <w:num w:numId="3">
    <w:abstractNumId w:val="8"/>
  </w:num>
  <w:num w:numId="4">
    <w:abstractNumId w:val="20"/>
  </w:num>
  <w:num w:numId="5">
    <w:abstractNumId w:val="11"/>
  </w:num>
  <w:num w:numId="6">
    <w:abstractNumId w:val="19"/>
  </w:num>
  <w:num w:numId="7">
    <w:abstractNumId w:val="2"/>
  </w:num>
  <w:num w:numId="8">
    <w:abstractNumId w:val="4"/>
  </w:num>
  <w:num w:numId="9">
    <w:abstractNumId w:val="5"/>
  </w:num>
  <w:num w:numId="10">
    <w:abstractNumId w:val="14"/>
  </w:num>
  <w:num w:numId="11">
    <w:abstractNumId w:val="18"/>
  </w:num>
  <w:num w:numId="12">
    <w:abstractNumId w:val="6"/>
  </w:num>
  <w:num w:numId="13">
    <w:abstractNumId w:val="17"/>
  </w:num>
  <w:num w:numId="14">
    <w:abstractNumId w:val="1"/>
  </w:num>
  <w:num w:numId="15">
    <w:abstractNumId w:val="13"/>
  </w:num>
  <w:num w:numId="16">
    <w:abstractNumId w:val="9"/>
  </w:num>
  <w:num w:numId="17">
    <w:abstractNumId w:val="7"/>
  </w:num>
  <w:num w:numId="18">
    <w:abstractNumId w:val="15"/>
  </w:num>
  <w:num w:numId="19">
    <w:abstractNumId w:val="1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3B"/>
    <w:rsid w:val="00004ED7"/>
    <w:rsid w:val="00006631"/>
    <w:rsid w:val="00011297"/>
    <w:rsid w:val="00014420"/>
    <w:rsid w:val="000212FC"/>
    <w:rsid w:val="00021E6C"/>
    <w:rsid w:val="00026802"/>
    <w:rsid w:val="00040B2E"/>
    <w:rsid w:val="000416DA"/>
    <w:rsid w:val="0004259D"/>
    <w:rsid w:val="000456D9"/>
    <w:rsid w:val="00050A93"/>
    <w:rsid w:val="00062319"/>
    <w:rsid w:val="00087FDB"/>
    <w:rsid w:val="000A21DD"/>
    <w:rsid w:val="000B5CC8"/>
    <w:rsid w:val="000C612A"/>
    <w:rsid w:val="001348E7"/>
    <w:rsid w:val="00135567"/>
    <w:rsid w:val="001403DC"/>
    <w:rsid w:val="00156610"/>
    <w:rsid w:val="00167645"/>
    <w:rsid w:val="00171995"/>
    <w:rsid w:val="00192271"/>
    <w:rsid w:val="001A1B42"/>
    <w:rsid w:val="001B1F85"/>
    <w:rsid w:val="001C2DED"/>
    <w:rsid w:val="001C5071"/>
    <w:rsid w:val="001C6D03"/>
    <w:rsid w:val="001D3AA1"/>
    <w:rsid w:val="001D6056"/>
    <w:rsid w:val="001D6C63"/>
    <w:rsid w:val="001F2085"/>
    <w:rsid w:val="001F4EAA"/>
    <w:rsid w:val="001F7F58"/>
    <w:rsid w:val="00203C48"/>
    <w:rsid w:val="0020406A"/>
    <w:rsid w:val="00216568"/>
    <w:rsid w:val="00226523"/>
    <w:rsid w:val="002378C5"/>
    <w:rsid w:val="00261C40"/>
    <w:rsid w:val="00267533"/>
    <w:rsid w:val="002766A0"/>
    <w:rsid w:val="00293408"/>
    <w:rsid w:val="00294B36"/>
    <w:rsid w:val="00296458"/>
    <w:rsid w:val="002A40A4"/>
    <w:rsid w:val="002C5F6B"/>
    <w:rsid w:val="002D0D68"/>
    <w:rsid w:val="002D2C9E"/>
    <w:rsid w:val="002E1C5C"/>
    <w:rsid w:val="0030115E"/>
    <w:rsid w:val="00302D71"/>
    <w:rsid w:val="00304F1B"/>
    <w:rsid w:val="003445CF"/>
    <w:rsid w:val="0034774C"/>
    <w:rsid w:val="0035325C"/>
    <w:rsid w:val="003558A3"/>
    <w:rsid w:val="00382CD2"/>
    <w:rsid w:val="003A62A1"/>
    <w:rsid w:val="003B0F10"/>
    <w:rsid w:val="003B2FA4"/>
    <w:rsid w:val="003B7A2E"/>
    <w:rsid w:val="003C54AC"/>
    <w:rsid w:val="003C727D"/>
    <w:rsid w:val="003E2548"/>
    <w:rsid w:val="003E2F32"/>
    <w:rsid w:val="003F58FC"/>
    <w:rsid w:val="00415469"/>
    <w:rsid w:val="00417413"/>
    <w:rsid w:val="004213BE"/>
    <w:rsid w:val="00422BF3"/>
    <w:rsid w:val="0042312A"/>
    <w:rsid w:val="00424D36"/>
    <w:rsid w:val="00427263"/>
    <w:rsid w:val="00442761"/>
    <w:rsid w:val="00442A35"/>
    <w:rsid w:val="00442D78"/>
    <w:rsid w:val="004701B8"/>
    <w:rsid w:val="00493831"/>
    <w:rsid w:val="00497C65"/>
    <w:rsid w:val="004A2F36"/>
    <w:rsid w:val="004A51D5"/>
    <w:rsid w:val="004A66B8"/>
    <w:rsid w:val="004C4FF5"/>
    <w:rsid w:val="004F1105"/>
    <w:rsid w:val="004F12CC"/>
    <w:rsid w:val="004F796D"/>
    <w:rsid w:val="00522AEC"/>
    <w:rsid w:val="005254A9"/>
    <w:rsid w:val="005325DE"/>
    <w:rsid w:val="00544DED"/>
    <w:rsid w:val="00545F3C"/>
    <w:rsid w:val="0059218E"/>
    <w:rsid w:val="00592E77"/>
    <w:rsid w:val="005A79F6"/>
    <w:rsid w:val="005C4CD5"/>
    <w:rsid w:val="005D3B1A"/>
    <w:rsid w:val="005E24AC"/>
    <w:rsid w:val="005E448A"/>
    <w:rsid w:val="00604AD6"/>
    <w:rsid w:val="006210C9"/>
    <w:rsid w:val="0064396E"/>
    <w:rsid w:val="00652C5E"/>
    <w:rsid w:val="006607CA"/>
    <w:rsid w:val="006905B9"/>
    <w:rsid w:val="006962A8"/>
    <w:rsid w:val="006A2F1A"/>
    <w:rsid w:val="006B5C1C"/>
    <w:rsid w:val="006C753C"/>
    <w:rsid w:val="006D226D"/>
    <w:rsid w:val="006D4085"/>
    <w:rsid w:val="006E4419"/>
    <w:rsid w:val="006F60BD"/>
    <w:rsid w:val="00734306"/>
    <w:rsid w:val="007419A3"/>
    <w:rsid w:val="0074767F"/>
    <w:rsid w:val="00752CBE"/>
    <w:rsid w:val="007653FE"/>
    <w:rsid w:val="007655E7"/>
    <w:rsid w:val="007744E7"/>
    <w:rsid w:val="007847A2"/>
    <w:rsid w:val="0079792A"/>
    <w:rsid w:val="007D5BE7"/>
    <w:rsid w:val="007F0DF8"/>
    <w:rsid w:val="008200B2"/>
    <w:rsid w:val="0083041C"/>
    <w:rsid w:val="0083529F"/>
    <w:rsid w:val="00844FF4"/>
    <w:rsid w:val="00845151"/>
    <w:rsid w:val="008464FE"/>
    <w:rsid w:val="00850AAF"/>
    <w:rsid w:val="00853062"/>
    <w:rsid w:val="008573CA"/>
    <w:rsid w:val="008A09BC"/>
    <w:rsid w:val="008B2174"/>
    <w:rsid w:val="008B38E0"/>
    <w:rsid w:val="008B54DA"/>
    <w:rsid w:val="008B783F"/>
    <w:rsid w:val="008D0752"/>
    <w:rsid w:val="008D0AA0"/>
    <w:rsid w:val="008D1442"/>
    <w:rsid w:val="008D1E8D"/>
    <w:rsid w:val="008F4716"/>
    <w:rsid w:val="008F635E"/>
    <w:rsid w:val="009122E4"/>
    <w:rsid w:val="0091241A"/>
    <w:rsid w:val="00915DC3"/>
    <w:rsid w:val="00952D3B"/>
    <w:rsid w:val="00962052"/>
    <w:rsid w:val="009635FB"/>
    <w:rsid w:val="00966CA2"/>
    <w:rsid w:val="00995065"/>
    <w:rsid w:val="009B05C7"/>
    <w:rsid w:val="009B688C"/>
    <w:rsid w:val="009B7E6D"/>
    <w:rsid w:val="009C00C2"/>
    <w:rsid w:val="009C1F79"/>
    <w:rsid w:val="009D1B00"/>
    <w:rsid w:val="009E222B"/>
    <w:rsid w:val="00A07480"/>
    <w:rsid w:val="00A21E49"/>
    <w:rsid w:val="00A24F88"/>
    <w:rsid w:val="00A3462D"/>
    <w:rsid w:val="00A3612B"/>
    <w:rsid w:val="00A3670B"/>
    <w:rsid w:val="00A43521"/>
    <w:rsid w:val="00A44918"/>
    <w:rsid w:val="00A44EF1"/>
    <w:rsid w:val="00A46762"/>
    <w:rsid w:val="00A502B0"/>
    <w:rsid w:val="00A60244"/>
    <w:rsid w:val="00A96ACB"/>
    <w:rsid w:val="00AA47B2"/>
    <w:rsid w:val="00AA7B44"/>
    <w:rsid w:val="00AB5E2F"/>
    <w:rsid w:val="00AE273E"/>
    <w:rsid w:val="00AF30D1"/>
    <w:rsid w:val="00AF5B15"/>
    <w:rsid w:val="00B04F9C"/>
    <w:rsid w:val="00B1697A"/>
    <w:rsid w:val="00B42325"/>
    <w:rsid w:val="00B440F9"/>
    <w:rsid w:val="00B539C6"/>
    <w:rsid w:val="00B61205"/>
    <w:rsid w:val="00B61274"/>
    <w:rsid w:val="00B7480A"/>
    <w:rsid w:val="00B808B3"/>
    <w:rsid w:val="00B845B9"/>
    <w:rsid w:val="00B93A3A"/>
    <w:rsid w:val="00B9624B"/>
    <w:rsid w:val="00BB6DF0"/>
    <w:rsid w:val="00BD288A"/>
    <w:rsid w:val="00BD5E61"/>
    <w:rsid w:val="00BD6EE8"/>
    <w:rsid w:val="00BE2D1C"/>
    <w:rsid w:val="00BE776B"/>
    <w:rsid w:val="00C003FA"/>
    <w:rsid w:val="00C10692"/>
    <w:rsid w:val="00C25E43"/>
    <w:rsid w:val="00C40861"/>
    <w:rsid w:val="00C42C76"/>
    <w:rsid w:val="00C43EB0"/>
    <w:rsid w:val="00C46C59"/>
    <w:rsid w:val="00C62B31"/>
    <w:rsid w:val="00C62C6D"/>
    <w:rsid w:val="00C84F23"/>
    <w:rsid w:val="00C968D9"/>
    <w:rsid w:val="00CC2AE8"/>
    <w:rsid w:val="00CE7512"/>
    <w:rsid w:val="00CF11E3"/>
    <w:rsid w:val="00D05EAF"/>
    <w:rsid w:val="00D11FBA"/>
    <w:rsid w:val="00D2393E"/>
    <w:rsid w:val="00D23BDF"/>
    <w:rsid w:val="00D24E95"/>
    <w:rsid w:val="00D266D8"/>
    <w:rsid w:val="00D27758"/>
    <w:rsid w:val="00D4067D"/>
    <w:rsid w:val="00D443EB"/>
    <w:rsid w:val="00D44423"/>
    <w:rsid w:val="00D52E12"/>
    <w:rsid w:val="00D679EF"/>
    <w:rsid w:val="00D81514"/>
    <w:rsid w:val="00DA193E"/>
    <w:rsid w:val="00DA75F4"/>
    <w:rsid w:val="00DB1867"/>
    <w:rsid w:val="00DC1880"/>
    <w:rsid w:val="00DD41EC"/>
    <w:rsid w:val="00DE034C"/>
    <w:rsid w:val="00DE3BCD"/>
    <w:rsid w:val="00DF5B0F"/>
    <w:rsid w:val="00DF6757"/>
    <w:rsid w:val="00DF6802"/>
    <w:rsid w:val="00E00CB7"/>
    <w:rsid w:val="00E012CC"/>
    <w:rsid w:val="00E06B97"/>
    <w:rsid w:val="00E148AF"/>
    <w:rsid w:val="00E166C9"/>
    <w:rsid w:val="00E205F7"/>
    <w:rsid w:val="00E33AC4"/>
    <w:rsid w:val="00E44A0C"/>
    <w:rsid w:val="00E71205"/>
    <w:rsid w:val="00E7771C"/>
    <w:rsid w:val="00E853A1"/>
    <w:rsid w:val="00EC3888"/>
    <w:rsid w:val="00EC6089"/>
    <w:rsid w:val="00ED2CE6"/>
    <w:rsid w:val="00EE428B"/>
    <w:rsid w:val="00F014A0"/>
    <w:rsid w:val="00F20A34"/>
    <w:rsid w:val="00F32A2B"/>
    <w:rsid w:val="00F346A0"/>
    <w:rsid w:val="00F45B4F"/>
    <w:rsid w:val="00F714A1"/>
    <w:rsid w:val="00F8279C"/>
    <w:rsid w:val="00F8391B"/>
    <w:rsid w:val="00FA7C98"/>
    <w:rsid w:val="00FC27F4"/>
    <w:rsid w:val="00FC54D1"/>
    <w:rsid w:val="00FC5B2F"/>
    <w:rsid w:val="00FD2ED8"/>
    <w:rsid w:val="00FD71FF"/>
    <w:rsid w:val="00FE1C2E"/>
    <w:rsid w:val="00FF7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F8F9E"/>
  <w15:docId w15:val="{4F3A13B3-A862-4280-AF6E-9E38396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05F7"/>
    <w:pPr>
      <w:overflowPunct w:val="0"/>
      <w:autoSpaceDE w:val="0"/>
      <w:autoSpaceDN w:val="0"/>
      <w:adjustRightInd w:val="0"/>
      <w:ind w:left="284"/>
      <w:textAlignment w:val="baseline"/>
    </w:pPr>
  </w:style>
  <w:style w:type="paragraph" w:styleId="Nadpis1">
    <w:name w:val="heading 1"/>
    <w:basedOn w:val="Normln"/>
    <w:next w:val="Normln"/>
    <w:qFormat/>
    <w:rsid w:val="00E205F7"/>
    <w:pPr>
      <w:keepNext/>
      <w:numPr>
        <w:numId w:val="1"/>
      </w:numPr>
      <w:spacing w:before="120" w:after="60"/>
      <w:ind w:left="0"/>
      <w:outlineLvl w:val="0"/>
    </w:pPr>
    <w:rPr>
      <w:rFonts w:ascii="Arial" w:hAnsi="Arial"/>
      <w:b/>
      <w:caps/>
      <w:kern w:val="28"/>
      <w:sz w:val="24"/>
    </w:rPr>
  </w:style>
  <w:style w:type="paragraph" w:styleId="Nadpis2">
    <w:name w:val="heading 2"/>
    <w:basedOn w:val="Normln"/>
    <w:next w:val="Normln"/>
    <w:qFormat/>
    <w:rsid w:val="00E205F7"/>
    <w:pPr>
      <w:keepNext/>
      <w:numPr>
        <w:ilvl w:val="1"/>
        <w:numId w:val="1"/>
      </w:numPr>
      <w:spacing w:before="120"/>
      <w:outlineLvl w:val="1"/>
    </w:pPr>
    <w:rPr>
      <w:rFonts w:ascii="Arial" w:hAnsi="Arial"/>
      <w:b/>
    </w:rPr>
  </w:style>
  <w:style w:type="paragraph" w:styleId="Nadpis3">
    <w:name w:val="heading 3"/>
    <w:basedOn w:val="Normln"/>
    <w:next w:val="Normln"/>
    <w:qFormat/>
    <w:rsid w:val="00E205F7"/>
    <w:pPr>
      <w:keepNext/>
      <w:numPr>
        <w:ilvl w:val="2"/>
        <w:numId w:val="1"/>
      </w:numPr>
      <w:spacing w:before="240" w:after="60"/>
      <w:outlineLvl w:val="2"/>
    </w:pPr>
    <w:rPr>
      <w:rFonts w:ascii="Arial" w:hAnsi="Arial"/>
      <w:sz w:val="24"/>
    </w:rPr>
  </w:style>
  <w:style w:type="paragraph" w:styleId="Nadpis4">
    <w:name w:val="heading 4"/>
    <w:basedOn w:val="Normln"/>
    <w:next w:val="Normln"/>
    <w:link w:val="Nadpis4Char"/>
    <w:qFormat/>
    <w:rsid w:val="00E205F7"/>
    <w:pPr>
      <w:keepNext/>
      <w:numPr>
        <w:ilvl w:val="3"/>
        <w:numId w:val="1"/>
      </w:numPr>
      <w:spacing w:before="240" w:after="60"/>
      <w:outlineLvl w:val="3"/>
    </w:pPr>
    <w:rPr>
      <w:rFonts w:ascii="Arial" w:hAnsi="Arial"/>
      <w:b/>
      <w:sz w:val="24"/>
    </w:rPr>
  </w:style>
  <w:style w:type="paragraph" w:styleId="Nadpis5">
    <w:name w:val="heading 5"/>
    <w:basedOn w:val="Normln"/>
    <w:next w:val="Normln"/>
    <w:qFormat/>
    <w:rsid w:val="00E205F7"/>
    <w:pPr>
      <w:numPr>
        <w:ilvl w:val="4"/>
        <w:numId w:val="1"/>
      </w:numPr>
      <w:spacing w:before="240" w:after="60"/>
      <w:outlineLvl w:val="4"/>
    </w:pPr>
    <w:rPr>
      <w:rFonts w:ascii="Arial" w:hAnsi="Arial"/>
      <w:sz w:val="22"/>
    </w:rPr>
  </w:style>
  <w:style w:type="paragraph" w:styleId="Nadpis6">
    <w:name w:val="heading 6"/>
    <w:basedOn w:val="Normln"/>
    <w:next w:val="Normln"/>
    <w:qFormat/>
    <w:rsid w:val="00E205F7"/>
    <w:pPr>
      <w:numPr>
        <w:ilvl w:val="5"/>
        <w:numId w:val="1"/>
      </w:numPr>
      <w:spacing w:before="240" w:after="60"/>
      <w:outlineLvl w:val="5"/>
    </w:pPr>
    <w:rPr>
      <w:i/>
      <w:sz w:val="22"/>
    </w:rPr>
  </w:style>
  <w:style w:type="paragraph" w:styleId="Nadpis7">
    <w:name w:val="heading 7"/>
    <w:basedOn w:val="Normln"/>
    <w:next w:val="Normln"/>
    <w:qFormat/>
    <w:rsid w:val="00E205F7"/>
    <w:pPr>
      <w:numPr>
        <w:ilvl w:val="6"/>
        <w:numId w:val="1"/>
      </w:numPr>
      <w:spacing w:before="240" w:after="60"/>
      <w:outlineLvl w:val="6"/>
    </w:pPr>
    <w:rPr>
      <w:rFonts w:ascii="Arial" w:hAnsi="Arial"/>
    </w:rPr>
  </w:style>
  <w:style w:type="paragraph" w:styleId="Nadpis8">
    <w:name w:val="heading 8"/>
    <w:basedOn w:val="Normln"/>
    <w:next w:val="Normln"/>
    <w:qFormat/>
    <w:rsid w:val="00E205F7"/>
    <w:pPr>
      <w:numPr>
        <w:ilvl w:val="7"/>
        <w:numId w:val="1"/>
      </w:numPr>
      <w:spacing w:before="240" w:after="60"/>
      <w:outlineLvl w:val="7"/>
    </w:pPr>
    <w:rPr>
      <w:rFonts w:ascii="Arial" w:hAnsi="Arial"/>
      <w:i/>
    </w:rPr>
  </w:style>
  <w:style w:type="paragraph" w:styleId="Nadpis9">
    <w:name w:val="heading 9"/>
    <w:basedOn w:val="Normln"/>
    <w:next w:val="Normln"/>
    <w:qFormat/>
    <w:rsid w:val="00E205F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205F7"/>
    <w:pPr>
      <w:tabs>
        <w:tab w:val="center" w:pos="4536"/>
        <w:tab w:val="right" w:pos="9072"/>
      </w:tabs>
    </w:pPr>
  </w:style>
  <w:style w:type="paragraph" w:styleId="Zpat">
    <w:name w:val="footer"/>
    <w:basedOn w:val="Normln"/>
    <w:semiHidden/>
    <w:rsid w:val="00E205F7"/>
    <w:pPr>
      <w:tabs>
        <w:tab w:val="center" w:pos="4536"/>
        <w:tab w:val="right" w:pos="9072"/>
      </w:tabs>
    </w:pPr>
  </w:style>
  <w:style w:type="character" w:styleId="slostrnky">
    <w:name w:val="page number"/>
    <w:basedOn w:val="Standardnpsmoodstavce"/>
    <w:semiHidden/>
    <w:rsid w:val="00E205F7"/>
  </w:style>
  <w:style w:type="paragraph" w:customStyle="1" w:styleId="NormalTab">
    <w:name w:val="NormalTab"/>
    <w:basedOn w:val="Normln"/>
    <w:rsid w:val="00E205F7"/>
    <w:pPr>
      <w:ind w:left="0"/>
    </w:pPr>
  </w:style>
  <w:style w:type="paragraph" w:customStyle="1" w:styleId="Zkladntext21">
    <w:name w:val="Základní text 21"/>
    <w:basedOn w:val="Normln"/>
    <w:rsid w:val="00E205F7"/>
    <w:pPr>
      <w:jc w:val="both"/>
    </w:pPr>
    <w:rPr>
      <w:b/>
    </w:rPr>
  </w:style>
  <w:style w:type="paragraph" w:customStyle="1" w:styleId="BodyText21">
    <w:name w:val="Body Text 21"/>
    <w:basedOn w:val="Normln"/>
    <w:rsid w:val="00E205F7"/>
    <w:pPr>
      <w:spacing w:after="60"/>
      <w:jc w:val="both"/>
    </w:pPr>
  </w:style>
  <w:style w:type="paragraph" w:customStyle="1" w:styleId="Normaltab0">
    <w:name w:val="Normaltab"/>
    <w:basedOn w:val="Normln"/>
    <w:rsid w:val="00E205F7"/>
    <w:pPr>
      <w:overflowPunct/>
      <w:autoSpaceDE/>
      <w:autoSpaceDN/>
      <w:adjustRightInd/>
      <w:ind w:left="0"/>
      <w:textAlignment w:val="auto"/>
    </w:pPr>
    <w:rPr>
      <w:lang w:eastAsia="en-US"/>
    </w:rPr>
  </w:style>
  <w:style w:type="paragraph" w:styleId="Zkladntextodsazen">
    <w:name w:val="Body Text Indent"/>
    <w:basedOn w:val="Normln"/>
    <w:link w:val="ZkladntextodsazenChar"/>
    <w:semiHidden/>
    <w:rsid w:val="00E205F7"/>
    <w:pPr>
      <w:overflowPunct/>
      <w:autoSpaceDE/>
      <w:autoSpaceDN/>
      <w:adjustRightInd/>
      <w:ind w:left="1843" w:hanging="1163"/>
      <w:jc w:val="both"/>
      <w:textAlignment w:val="auto"/>
    </w:pPr>
    <w:rPr>
      <w:lang w:eastAsia="en-US"/>
    </w:rPr>
  </w:style>
  <w:style w:type="paragraph" w:customStyle="1" w:styleId="CM4">
    <w:name w:val="CM4"/>
    <w:basedOn w:val="Normln"/>
    <w:next w:val="Normln"/>
    <w:rsid w:val="00E205F7"/>
    <w:pPr>
      <w:overflowPunct/>
      <w:spacing w:before="60" w:after="60"/>
      <w:ind w:left="0"/>
      <w:textAlignment w:val="auto"/>
    </w:pPr>
    <w:rPr>
      <w:rFonts w:ascii="EUAlbertina" w:hAnsi="EUAlbertina"/>
      <w:szCs w:val="24"/>
    </w:rPr>
  </w:style>
  <w:style w:type="character" w:styleId="Hypertextovodkaz">
    <w:name w:val="Hyperlink"/>
    <w:semiHidden/>
    <w:rsid w:val="00E205F7"/>
    <w:rPr>
      <w:color w:val="0000FF"/>
      <w:u w:val="single"/>
    </w:rPr>
  </w:style>
  <w:style w:type="character" w:styleId="Sledovanodkaz">
    <w:name w:val="FollowedHyperlink"/>
    <w:semiHidden/>
    <w:rsid w:val="00E205F7"/>
    <w:rPr>
      <w:color w:val="800080"/>
      <w:u w:val="single"/>
    </w:rPr>
  </w:style>
  <w:style w:type="character" w:customStyle="1" w:styleId="ZkladntextodsazenChar">
    <w:name w:val="Základní text odsazený Char"/>
    <w:link w:val="Zkladntextodsazen"/>
    <w:semiHidden/>
    <w:rsid w:val="00E33AC4"/>
    <w:rPr>
      <w:lang w:eastAsia="en-US"/>
    </w:rPr>
  </w:style>
  <w:style w:type="paragraph" w:styleId="Bezmezer">
    <w:name w:val="No Spacing"/>
    <w:uiPriority w:val="1"/>
    <w:qFormat/>
    <w:rsid w:val="00C62C6D"/>
    <w:rPr>
      <w:rFonts w:ascii="Calibri" w:eastAsia="Calibri" w:hAnsi="Calibri"/>
      <w:sz w:val="22"/>
      <w:szCs w:val="22"/>
      <w:lang w:eastAsia="en-US"/>
    </w:rPr>
  </w:style>
  <w:style w:type="character" w:customStyle="1" w:styleId="name">
    <w:name w:val="name"/>
    <w:basedOn w:val="Standardnpsmoodstavce"/>
    <w:rsid w:val="00E71205"/>
  </w:style>
  <w:style w:type="table" w:styleId="Mkatabulky">
    <w:name w:val="Table Grid"/>
    <w:basedOn w:val="Normlntabulka"/>
    <w:uiPriority w:val="59"/>
    <w:rsid w:val="00F7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408"/>
    <w:pPr>
      <w:autoSpaceDE w:val="0"/>
      <w:autoSpaceDN w:val="0"/>
      <w:adjustRightInd w:val="0"/>
    </w:pPr>
    <w:rPr>
      <w:rFonts w:ascii="Arial" w:hAnsi="Arial" w:cs="Arial"/>
      <w:color w:val="000000"/>
      <w:sz w:val="24"/>
      <w:szCs w:val="24"/>
    </w:rPr>
  </w:style>
  <w:style w:type="character" w:customStyle="1" w:styleId="hps">
    <w:name w:val="hps"/>
    <w:rsid w:val="008B783F"/>
  </w:style>
  <w:style w:type="paragraph" w:styleId="Textbubliny">
    <w:name w:val="Balloon Text"/>
    <w:basedOn w:val="Normln"/>
    <w:link w:val="TextbublinyChar"/>
    <w:uiPriority w:val="99"/>
    <w:semiHidden/>
    <w:unhideWhenUsed/>
    <w:rsid w:val="00915DC3"/>
    <w:rPr>
      <w:rFonts w:ascii="Tahoma" w:hAnsi="Tahoma"/>
      <w:sz w:val="16"/>
      <w:szCs w:val="16"/>
    </w:rPr>
  </w:style>
  <w:style w:type="character" w:customStyle="1" w:styleId="TextbublinyChar">
    <w:name w:val="Text bubliny Char"/>
    <w:link w:val="Textbubliny"/>
    <w:uiPriority w:val="99"/>
    <w:semiHidden/>
    <w:rsid w:val="00915DC3"/>
    <w:rPr>
      <w:rFonts w:ascii="Tahoma" w:hAnsi="Tahoma" w:cs="Tahoma"/>
      <w:sz w:val="16"/>
      <w:szCs w:val="16"/>
    </w:rPr>
  </w:style>
  <w:style w:type="character" w:customStyle="1" w:styleId="nowrap">
    <w:name w:val="nowrap"/>
    <w:basedOn w:val="Standardnpsmoodstavce"/>
    <w:rsid w:val="003B0F10"/>
  </w:style>
  <w:style w:type="paragraph" w:styleId="Zkladntextodsazen2">
    <w:name w:val="Body Text Indent 2"/>
    <w:basedOn w:val="Normln"/>
    <w:link w:val="Zkladntextodsazen2Char"/>
    <w:uiPriority w:val="99"/>
    <w:unhideWhenUsed/>
    <w:rsid w:val="00CC2AE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C2AE8"/>
  </w:style>
  <w:style w:type="paragraph" w:styleId="Zkladntextodsazen3">
    <w:name w:val="Body Text Indent 3"/>
    <w:basedOn w:val="Normln"/>
    <w:link w:val="Zkladntextodsazen3Char"/>
    <w:uiPriority w:val="99"/>
    <w:unhideWhenUsed/>
    <w:rsid w:val="00CC2AE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C2AE8"/>
    <w:rPr>
      <w:sz w:val="16"/>
      <w:szCs w:val="16"/>
    </w:rPr>
  </w:style>
  <w:style w:type="character" w:customStyle="1" w:styleId="Nadpis4Char">
    <w:name w:val="Nadpis 4 Char"/>
    <w:basedOn w:val="Standardnpsmoodstavce"/>
    <w:link w:val="Nadpis4"/>
    <w:locked/>
    <w:rsid w:val="001C6D03"/>
    <w:rPr>
      <w:rFonts w:ascii="Arial" w:hAnsi="Arial"/>
      <w:b/>
      <w:sz w:val="24"/>
    </w:rPr>
  </w:style>
  <w:style w:type="paragraph" w:styleId="Zkladntext">
    <w:name w:val="Body Text"/>
    <w:basedOn w:val="Normln"/>
    <w:link w:val="ZkladntextChar"/>
    <w:uiPriority w:val="99"/>
    <w:unhideWhenUsed/>
    <w:rsid w:val="002E1C5C"/>
    <w:pPr>
      <w:spacing w:after="120"/>
    </w:pPr>
  </w:style>
  <w:style w:type="character" w:customStyle="1" w:styleId="ZkladntextChar">
    <w:name w:val="Základní text Char"/>
    <w:basedOn w:val="Standardnpsmoodstavce"/>
    <w:link w:val="Zkladntext"/>
    <w:uiPriority w:val="99"/>
    <w:rsid w:val="002E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1925">
      <w:bodyDiv w:val="1"/>
      <w:marLeft w:val="0"/>
      <w:marRight w:val="0"/>
      <w:marTop w:val="0"/>
      <w:marBottom w:val="0"/>
      <w:divBdr>
        <w:top w:val="none" w:sz="0" w:space="0" w:color="auto"/>
        <w:left w:val="none" w:sz="0" w:space="0" w:color="auto"/>
        <w:bottom w:val="none" w:sz="0" w:space="0" w:color="auto"/>
        <w:right w:val="none" w:sz="0" w:space="0" w:color="auto"/>
      </w:divBdr>
    </w:div>
    <w:div w:id="538325629">
      <w:bodyDiv w:val="1"/>
      <w:marLeft w:val="0"/>
      <w:marRight w:val="0"/>
      <w:marTop w:val="0"/>
      <w:marBottom w:val="0"/>
      <w:divBdr>
        <w:top w:val="none" w:sz="0" w:space="0" w:color="auto"/>
        <w:left w:val="none" w:sz="0" w:space="0" w:color="auto"/>
        <w:bottom w:val="none" w:sz="0" w:space="0" w:color="auto"/>
        <w:right w:val="none" w:sz="0" w:space="0" w:color="auto"/>
      </w:divBdr>
      <w:divsChild>
        <w:div w:id="850030053">
          <w:marLeft w:val="0"/>
          <w:marRight w:val="0"/>
          <w:marTop w:val="0"/>
          <w:marBottom w:val="0"/>
          <w:divBdr>
            <w:top w:val="none" w:sz="0" w:space="0" w:color="auto"/>
            <w:left w:val="none" w:sz="0" w:space="0" w:color="auto"/>
            <w:bottom w:val="none" w:sz="0" w:space="0" w:color="auto"/>
            <w:right w:val="none" w:sz="0" w:space="0" w:color="auto"/>
          </w:divBdr>
          <w:divsChild>
            <w:div w:id="10551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group@primogrou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lucie.stavinohova@primogroup.cz" TargetMode="External"/><Relationship Id="rId4" Type="http://schemas.openxmlformats.org/officeDocument/2006/relationships/settings" Target="settings.xml"/><Relationship Id="rId9" Type="http://schemas.openxmlformats.org/officeDocument/2006/relationships/hyperlink" Target="mailto:pilar@primogroup.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209CB-2E50-49E5-BB4D-3748A582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3433</Words>
  <Characters>20258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Ekoline s.r.o.</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Ekoline s.r.o.</dc:creator>
  <cp:lastModifiedBy>Pavel Pilař</cp:lastModifiedBy>
  <cp:revision>5</cp:revision>
  <cp:lastPrinted>2017-04-13T09:56:00Z</cp:lastPrinted>
  <dcterms:created xsi:type="dcterms:W3CDTF">2021-04-09T10:05:00Z</dcterms:created>
  <dcterms:modified xsi:type="dcterms:W3CDTF">2021-04-09T10:13:00Z</dcterms:modified>
</cp:coreProperties>
</file>